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bookmarkStart w:id="0" w:name="_Hlk97191672"/>
      <w:r>
        <w:rPr>
          <w:rFonts w:ascii="Times New Roman" w:hAnsi="黑体" w:eastAsia="黑体" w:cs="Times New Roman"/>
          <w:sz w:val="32"/>
          <w:szCs w:val="32"/>
        </w:rPr>
        <w:t>附件</w:t>
      </w:r>
    </w:p>
    <w:tbl>
      <w:tblPr>
        <w:tblStyle w:val="13"/>
        <w:tblW w:w="15919" w:type="dxa"/>
        <w:jc w:val="center"/>
        <w:tblLayout w:type="fixed"/>
        <w:tblCellMar>
          <w:top w:w="0" w:type="dxa"/>
          <w:left w:w="108" w:type="dxa"/>
          <w:bottom w:w="0" w:type="dxa"/>
          <w:right w:w="108" w:type="dxa"/>
        </w:tblCellMar>
      </w:tblPr>
      <w:tblGrid>
        <w:gridCol w:w="697"/>
        <w:gridCol w:w="710"/>
        <w:gridCol w:w="708"/>
        <w:gridCol w:w="851"/>
        <w:gridCol w:w="3402"/>
        <w:gridCol w:w="3260"/>
        <w:gridCol w:w="1134"/>
        <w:gridCol w:w="1701"/>
        <w:gridCol w:w="2268"/>
        <w:gridCol w:w="1188"/>
      </w:tblGrid>
      <w:tr>
        <w:tblPrEx>
          <w:tblCellMar>
            <w:top w:w="0" w:type="dxa"/>
            <w:left w:w="108" w:type="dxa"/>
            <w:bottom w:w="0" w:type="dxa"/>
            <w:right w:w="108" w:type="dxa"/>
          </w:tblCellMar>
        </w:tblPrEx>
        <w:trPr>
          <w:trHeight w:val="540" w:hRule="atLeast"/>
          <w:tblHeader/>
          <w:jc w:val="center"/>
        </w:trPr>
        <w:tc>
          <w:tcPr>
            <w:tcW w:w="15919" w:type="dxa"/>
            <w:gridSpan w:val="10"/>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方正小标宋简体" w:cs="Times New Roman"/>
                <w:spacing w:val="-12"/>
                <w:sz w:val="44"/>
                <w:szCs w:val="44"/>
              </w:rPr>
            </w:pPr>
            <w:r>
              <w:rPr>
                <w:rFonts w:ascii="Times New Roman" w:hAnsi="Times New Roman" w:eastAsia="方正小标宋简体" w:cs="Times New Roman"/>
                <w:spacing w:val="-12"/>
                <w:sz w:val="44"/>
                <w:szCs w:val="44"/>
              </w:rPr>
              <w:t>连云港市应急管理局安全生产领域“综合查一次”场景清单</w:t>
            </w:r>
          </w:p>
        </w:tc>
      </w:tr>
      <w:tr>
        <w:tblPrEx>
          <w:tblCellMar>
            <w:top w:w="0" w:type="dxa"/>
            <w:left w:w="108" w:type="dxa"/>
            <w:bottom w:w="0" w:type="dxa"/>
            <w:right w:w="108" w:type="dxa"/>
          </w:tblCellMar>
        </w:tblPrEx>
        <w:trPr>
          <w:tblHeader/>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val="0"/>
                <w:color w:val="000000"/>
                <w:kern w:val="0"/>
                <w:sz w:val="24"/>
                <w:szCs w:val="24"/>
              </w:rPr>
            </w:pPr>
            <w:r>
              <w:rPr>
                <w:rFonts w:ascii="Times New Roman" w:hAnsi="黑体" w:eastAsia="黑体" w:cs="Times New Roman"/>
                <w:color w:val="000000"/>
                <w:kern w:val="0"/>
                <w:sz w:val="24"/>
                <w:szCs w:val="24"/>
              </w:rPr>
              <w:t>序号</w:t>
            </w:r>
          </w:p>
        </w:tc>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val="0"/>
                <w:color w:val="000000"/>
                <w:kern w:val="0"/>
                <w:sz w:val="24"/>
                <w:szCs w:val="24"/>
              </w:rPr>
            </w:pPr>
            <w:r>
              <w:rPr>
                <w:rFonts w:ascii="Times New Roman" w:hAnsi="黑体" w:eastAsia="黑体" w:cs="Times New Roman"/>
                <w:color w:val="000000"/>
                <w:kern w:val="0"/>
                <w:sz w:val="24"/>
                <w:szCs w:val="24"/>
              </w:rPr>
              <w:t>综合监管场景</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val="0"/>
                <w:color w:val="000000"/>
                <w:kern w:val="0"/>
                <w:sz w:val="24"/>
                <w:szCs w:val="24"/>
              </w:rPr>
            </w:pPr>
            <w:r>
              <w:rPr>
                <w:rFonts w:ascii="Times New Roman" w:hAnsi="黑体" w:eastAsia="黑体" w:cs="Times New Roman"/>
                <w:color w:val="000000"/>
                <w:kern w:val="0"/>
                <w:sz w:val="24"/>
                <w:szCs w:val="24"/>
              </w:rPr>
              <w:t>监管部门</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val="0"/>
                <w:color w:val="000000"/>
                <w:kern w:val="0"/>
                <w:sz w:val="24"/>
                <w:szCs w:val="24"/>
              </w:rPr>
            </w:pPr>
            <w:r>
              <w:rPr>
                <w:rFonts w:ascii="Times New Roman" w:hAnsi="黑体" w:eastAsia="黑体" w:cs="Times New Roman"/>
                <w:color w:val="000000"/>
                <w:kern w:val="0"/>
                <w:sz w:val="24"/>
                <w:szCs w:val="24"/>
              </w:rPr>
              <w:t>主要检查内容</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val="0"/>
                <w:color w:val="000000"/>
                <w:kern w:val="0"/>
                <w:sz w:val="24"/>
                <w:szCs w:val="24"/>
              </w:rPr>
            </w:pPr>
            <w:r>
              <w:rPr>
                <w:rFonts w:ascii="Times New Roman" w:hAnsi="黑体" w:eastAsia="黑体" w:cs="Times New Roman"/>
                <w:color w:val="000000"/>
                <w:kern w:val="0"/>
                <w:sz w:val="24"/>
                <w:szCs w:val="24"/>
              </w:rPr>
              <w:t>设定依据（法律法规等）</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val="0"/>
                <w:color w:val="000000"/>
                <w:kern w:val="0"/>
                <w:sz w:val="24"/>
                <w:szCs w:val="24"/>
              </w:rPr>
            </w:pPr>
            <w:r>
              <w:rPr>
                <w:rFonts w:ascii="Times New Roman" w:hAnsi="黑体" w:eastAsia="黑体" w:cs="Times New Roman"/>
                <w:color w:val="000000"/>
                <w:kern w:val="0"/>
                <w:sz w:val="24"/>
                <w:szCs w:val="24"/>
              </w:rPr>
              <w:t>监管事项主项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val="0"/>
                <w:color w:val="000000"/>
                <w:kern w:val="0"/>
                <w:sz w:val="24"/>
                <w:szCs w:val="24"/>
              </w:rPr>
            </w:pPr>
            <w:r>
              <w:rPr>
                <w:rFonts w:ascii="Times New Roman" w:hAnsi="黑体" w:eastAsia="黑体" w:cs="Times New Roman"/>
                <w:color w:val="000000"/>
                <w:kern w:val="0"/>
                <w:sz w:val="24"/>
                <w:szCs w:val="24"/>
              </w:rPr>
              <w:t>监管事项子项</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val="0"/>
                <w:color w:val="000000"/>
                <w:kern w:val="0"/>
                <w:sz w:val="24"/>
                <w:szCs w:val="24"/>
              </w:rPr>
            </w:pPr>
            <w:r>
              <w:rPr>
                <w:rFonts w:ascii="Times New Roman" w:hAnsi="黑体" w:eastAsia="黑体" w:cs="Times New Roman"/>
                <w:color w:val="000000"/>
                <w:kern w:val="0"/>
                <w:sz w:val="24"/>
                <w:szCs w:val="24"/>
              </w:rPr>
              <w:t>被检查企业名称</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val="0"/>
                <w:color w:val="000000"/>
                <w:kern w:val="0"/>
                <w:sz w:val="24"/>
                <w:szCs w:val="24"/>
              </w:rPr>
            </w:pPr>
            <w:r>
              <w:rPr>
                <w:rFonts w:ascii="Times New Roman" w:hAnsi="黑体" w:eastAsia="黑体" w:cs="Times New Roman"/>
                <w:color w:val="000000"/>
                <w:kern w:val="0"/>
                <w:sz w:val="24"/>
                <w:szCs w:val="24"/>
              </w:rPr>
              <w:t>备注</w:t>
            </w:r>
          </w:p>
        </w:tc>
      </w:tr>
      <w:tr>
        <w:tblPrEx>
          <w:tblCellMar>
            <w:top w:w="0" w:type="dxa"/>
            <w:left w:w="108" w:type="dxa"/>
            <w:bottom w:w="0" w:type="dxa"/>
            <w:right w:w="108" w:type="dxa"/>
          </w:tblCellMar>
        </w:tblPrEx>
        <w:trPr>
          <w:trHeight w:val="6020"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烟花爆竹场景清单</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牵头部门</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应急管理局</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对烟花爆竹批发企业是否向零售经营者供应非法生产、经营的烟花爆竹，或者供应按照国家标准规定应由专业燃放人员燃放的烟花爆竹的检查；</w:t>
            </w:r>
          </w:p>
          <w:p>
            <w:pPr>
              <w:widowControl/>
              <w:numPr>
                <w:ilvl w:val="0"/>
                <w:numId w:val="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对烟花爆竹批发企业在城市建成区内是否设立烟花爆竹储存仓库，或者在批发（展示）场所摆放有药样品的检查；</w:t>
            </w:r>
          </w:p>
          <w:p>
            <w:pPr>
              <w:widowControl/>
              <w:numPr>
                <w:ilvl w:val="0"/>
                <w:numId w:val="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对烟花爆竹批发企业是否采购和销售质量不符合国家标准或者行业标准规定的烟花爆竹检查；</w:t>
            </w:r>
          </w:p>
          <w:p>
            <w:pPr>
              <w:widowControl/>
              <w:numPr>
                <w:ilvl w:val="0"/>
                <w:numId w:val="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对烟花爆竹批发企业是否在仓库内违反国家标准或者行业标准规定储存烟花爆竹检查；</w:t>
            </w:r>
          </w:p>
          <w:p>
            <w:pPr>
              <w:widowControl/>
              <w:numPr>
                <w:ilvl w:val="0"/>
                <w:numId w:val="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对烟花爆竹批发企业是否在烟花爆竹经营许可证载明的仓库以外储存烟花爆竹检查；</w:t>
            </w:r>
          </w:p>
          <w:p>
            <w:pPr>
              <w:widowControl/>
              <w:numPr>
                <w:ilvl w:val="0"/>
                <w:numId w:val="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对烟花爆竹批发企业是否向未取得零售许可证的单位或者个人销售烟花爆竹检查。 </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2"/>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《中华人民共和国安全生产法》；</w:t>
            </w:r>
          </w:p>
          <w:p>
            <w:pPr>
              <w:widowControl/>
              <w:numPr>
                <w:ilvl w:val="0"/>
                <w:numId w:val="2"/>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《烟花爆竹生产经营安全规定》；</w:t>
            </w:r>
          </w:p>
          <w:p>
            <w:pPr>
              <w:widowControl/>
              <w:numPr>
                <w:ilvl w:val="0"/>
                <w:numId w:val="2"/>
              </w:numPr>
              <w:spacing w:line="240" w:lineRule="exact"/>
              <w:rPr>
                <w:rFonts w:ascii="Times New Roman" w:hAnsi="Times New Roman" w:eastAsia="仿宋_GB2312" w:cs="Times New Roman"/>
                <w:szCs w:val="21"/>
              </w:rPr>
            </w:pPr>
            <w:r>
              <w:rPr>
                <w:rFonts w:ascii="Times New Roman" w:hAnsi="Times New Roman" w:eastAsia="仿宋_GB2312" w:cs="Times New Roman"/>
                <w:color w:val="000000"/>
                <w:kern w:val="0"/>
                <w:szCs w:val="21"/>
              </w:rPr>
              <w:t>《烟花爆竹安全管理条例》；</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4.《烟花爆竹经营许可实施办法》。</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对烟花爆竹的监管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3"/>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对烟花爆竹批发的行政检查;</w:t>
            </w:r>
          </w:p>
          <w:p>
            <w:pPr>
              <w:widowControl/>
              <w:numPr>
                <w:ilvl w:val="0"/>
                <w:numId w:val="3"/>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对烟花爆竹批发的行政处罚; </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4"/>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连云港市开心烟花爆竹有限公司；</w:t>
            </w:r>
          </w:p>
          <w:p>
            <w:pPr>
              <w:widowControl/>
              <w:numPr>
                <w:ilvl w:val="0"/>
                <w:numId w:val="4"/>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连云港市祥源烟花爆竹批发有限公司；</w:t>
            </w:r>
          </w:p>
          <w:p>
            <w:pPr>
              <w:widowControl/>
              <w:numPr>
                <w:ilvl w:val="0"/>
                <w:numId w:val="4"/>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连云港市兴旺烟花爆竹有限公司；</w:t>
            </w:r>
          </w:p>
          <w:p>
            <w:pPr>
              <w:widowControl/>
              <w:numPr>
                <w:ilvl w:val="0"/>
                <w:numId w:val="4"/>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东海县裕丰烟花爆竹有限公司；</w:t>
            </w:r>
          </w:p>
          <w:p>
            <w:pPr>
              <w:widowControl/>
              <w:numPr>
                <w:ilvl w:val="0"/>
                <w:numId w:val="4"/>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灌云县裕隆庆烟花爆竹有限公司</w:t>
            </w:r>
          </w:p>
          <w:p>
            <w:pPr>
              <w:widowControl/>
              <w:numPr>
                <w:ilvl w:val="0"/>
                <w:numId w:val="4"/>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灌南县供销烟花爆竹批发站。</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910" w:hRule="atLeast"/>
          <w:jc w:val="center"/>
        </w:trPr>
        <w:tc>
          <w:tcPr>
            <w:tcW w:w="69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w:t>
            </w:r>
          </w:p>
        </w:tc>
        <w:tc>
          <w:tcPr>
            <w:tcW w:w="71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szCs w:val="21"/>
              </w:rPr>
              <w:t>烟花爆竹场景清单</w:t>
            </w:r>
          </w:p>
        </w:tc>
        <w:tc>
          <w:tcPr>
            <w:tcW w:w="7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配合部门</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公安局</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1.批发企业库房管理；</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2.烟花爆竹禁放工作。</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烟花爆竹管理条例</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对烟花爆竹的监管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对烟花爆竹批发的行政检查</w:t>
            </w:r>
          </w:p>
        </w:tc>
        <w:tc>
          <w:tcPr>
            <w:tcW w:w="2268" w:type="dxa"/>
            <w:vMerge w:val="restart"/>
            <w:tcBorders>
              <w:top w:val="single" w:color="auto" w:sz="4" w:space="0"/>
              <w:left w:val="nil"/>
              <w:right w:val="single" w:color="auto" w:sz="4" w:space="0"/>
            </w:tcBorders>
            <w:shd w:val="clear" w:color="auto" w:fill="auto"/>
            <w:vAlign w:val="center"/>
          </w:tcPr>
          <w:p>
            <w:pPr>
              <w:widowControl/>
              <w:numPr>
                <w:ilvl w:val="0"/>
                <w:numId w:val="5"/>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连云港市开心烟花爆竹有限公司；</w:t>
            </w:r>
          </w:p>
          <w:p>
            <w:pPr>
              <w:widowControl/>
              <w:numPr>
                <w:ilvl w:val="0"/>
                <w:numId w:val="5"/>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连云港市祥源烟花爆竹批发有限公司；</w:t>
            </w:r>
          </w:p>
          <w:p>
            <w:pPr>
              <w:widowControl/>
              <w:numPr>
                <w:ilvl w:val="0"/>
                <w:numId w:val="5"/>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连云港市兴旺烟花爆竹有限公司；</w:t>
            </w:r>
          </w:p>
          <w:p>
            <w:pPr>
              <w:widowControl/>
              <w:numPr>
                <w:ilvl w:val="0"/>
                <w:numId w:val="5"/>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东海县裕丰烟花爆竹有限公司；</w:t>
            </w:r>
          </w:p>
          <w:p>
            <w:pPr>
              <w:widowControl/>
              <w:numPr>
                <w:ilvl w:val="0"/>
                <w:numId w:val="5"/>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灌云县裕隆庆烟花爆竹有限公司</w:t>
            </w:r>
          </w:p>
          <w:p>
            <w:pPr>
              <w:widowControl/>
              <w:numPr>
                <w:ilvl w:val="0"/>
                <w:numId w:val="5"/>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灌南县供销烟花爆竹批发站。</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5529" w:hRule="atLeast"/>
          <w:jc w:val="center"/>
        </w:trPr>
        <w:tc>
          <w:tcPr>
            <w:tcW w:w="69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71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交通局</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1.普通货运车辆运输曝炸品情况。</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2.运输爆炸品从业人员资格证及车辆道路动输证和所属企业经营资质情况。</w:t>
            </w: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1.《危险货物道路运输企业安全管理规范》；</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2.《中华人民共和国安全生产法 》；</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3.《中华人民共和国道路运输条例》；</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4.《道路危险货物运输管理规定》；</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5.《道路运输从业人员管理规定》；</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6.《危险货物道路运输安全管理办法》；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7.《江苏省道路运输条例 》等。</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对运输爆炸品车辆进行监管</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1.普通货运车辆运输曝炸品违规行为。</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2.运输爆炸品从业人员资格证及车辆道路动输证和所属企业经营资质不符有关规定的违法行为。</w:t>
            </w:r>
          </w:p>
        </w:tc>
        <w:tc>
          <w:tcPr>
            <w:tcW w:w="2268" w:type="dxa"/>
            <w:vMerge w:val="continue"/>
            <w:tcBorders>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p>
        </w:tc>
        <w:tc>
          <w:tcPr>
            <w:tcW w:w="118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1066" w:hRule="atLeast"/>
          <w:jc w:val="center"/>
        </w:trPr>
        <w:tc>
          <w:tcPr>
            <w:tcW w:w="6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危化企业场景清单</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危化企业场景清单</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危化企业场景清单</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危化企业场景清单</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牵头部门</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牵头部门</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牵头部门</w:t>
            </w:r>
          </w:p>
          <w:p>
            <w:pPr>
              <w:widowControl/>
              <w:spacing w:line="240" w:lineRule="exact"/>
              <w:jc w:val="center"/>
              <w:rPr>
                <w:rFonts w:ascii="Times New Roman" w:hAnsi="Times New Roman" w:eastAsia="仿宋_GB2312" w:cs="Times New Roman"/>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应急管理局</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应急管理局</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应急管理局</w:t>
            </w:r>
          </w:p>
          <w:p>
            <w:pPr>
              <w:widowControl/>
              <w:spacing w:line="240" w:lineRule="exact"/>
              <w:jc w:val="center"/>
              <w:rPr>
                <w:rFonts w:ascii="Times New Roman" w:hAnsi="Times New Roman" w:eastAsia="仿宋_GB2312" w:cs="Times New Roman"/>
                <w:color w:val="000000"/>
                <w:kern w:val="0"/>
                <w:szCs w:val="21"/>
              </w:rPr>
            </w:pP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1.对生产、储存危险化学品的单位是否对其铺设的危险化学品管道设置明显的标志，或者是否对危险化学品管道定期检查、检测的检查；</w:t>
            </w: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2.对进行可能危及危险化学品管道安全的施工作业，施工单位是否履行规定的安全管理职责；管道所属单位是否指派专门人员到现场进行管道安全保护指导的检查；</w:t>
            </w: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3.对危险化学品生产企业是否提供化学品安全技术说明书，或者是否在包装上粘贴、拴挂化学品安全标签的检查；</w:t>
            </w: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4.对危险化学品生产企业的化学品安全技术说明书、化学品安全标签使用是否符合规定要求的检查；</w:t>
            </w: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5.对危险化学品生产企业发现其生产的危险化学品有新的危险特性不立即公告，或者不及时修订其化学品安全技术说明书和化学品安全标签的检查；</w:t>
            </w: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6.对生产、储存危险化学品的单位是否在作业场所设置通信、报警装置的检查；</w:t>
            </w: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7.对生产、储存危险化学品单位专用仓库是否设专人负责管理，或者对储存的剧毒化学品以及储存数量构成重大危险源的其他危险化学品是否实行双人收发、双人保管制度的检查；</w:t>
            </w: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8.对危险化学品生产企业、进口企业是否按照规定办理危险化学品登记，或者发现有新的危险特性的不办理危险化学品登记内容变更手续的检查；</w:t>
            </w: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9.对生产、储存、使用危险化学品的单位对重复使用的危险化学品包装物、容器，在重复使用前不进行检查的检查；</w:t>
            </w: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对生产、储存、使用危险化学品的单位是否根据其生产、储存的危险化学品的种类和危险特性，在作业场所设置相关安全设施、设备，或者是否按照国家标准、行业标准或者国家有关规定对安全设施、设备进行经常性维护、保养的检查；</w:t>
            </w: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11.对生产、储存、使用危险化学品的单位是否依照规定对其安全生产条件定期进行安全评价的检查；</w:t>
            </w: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12.对生产、储存、使用危险化学品的单位危险化学品的储存方式、方法或者储存数量是否符合国家标准或者国家有关规定的检查；</w:t>
            </w: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13.对生产、储存危险化学品的企业或者使用危险化学品从事生产的企业是否按照规定将安全评价报告以及整改方案的落实情况报有关部门备案的检查。</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6"/>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《中华人民共和国安全生产法》；</w:t>
            </w:r>
          </w:p>
          <w:p>
            <w:pPr>
              <w:widowControl/>
              <w:numPr>
                <w:ilvl w:val="0"/>
                <w:numId w:val="6"/>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《农药管理条例》；</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3.《农药生产许可制度》；</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4.《危险化学品安全管理条例》；</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5.《安全生产许可证条例》；</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6.《危险化学品生产企业安全生产许可证实施办法》。</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对危化企业的监管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7"/>
              </w:numPr>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对危化企业批发的行政检查;</w:t>
            </w:r>
          </w:p>
          <w:p>
            <w:pPr>
              <w:widowControl/>
              <w:numPr>
                <w:ilvl w:val="0"/>
                <w:numId w:val="7"/>
              </w:numPr>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对危化企业批发的行政处罚;</w:t>
            </w:r>
          </w:p>
        </w:tc>
        <w:tc>
          <w:tcPr>
            <w:tcW w:w="2268" w:type="dxa"/>
            <w:vMerge w:val="restart"/>
            <w:tcBorders>
              <w:top w:val="single" w:color="auto" w:sz="4" w:space="0"/>
              <w:left w:val="nil"/>
              <w:bottom w:val="single" w:color="auto" w:sz="4" w:space="0"/>
              <w:right w:val="single" w:color="auto" w:sz="4" w:space="0"/>
            </w:tcBorders>
            <w:shd w:val="clear" w:color="auto" w:fill="auto"/>
            <w:vAlign w:val="center"/>
          </w:tcPr>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东海县桃源气体供应站；</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灌云金宇气体有限公司；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万联能源集团有限公司（刘跳油库）；</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江苏润海油品销售有限公司；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江苏金茂源生物化工有限责任公司；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连云港杰瑞药业有限公司；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江苏远征化工有限公司；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江苏地浦科技股份有限公司；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江苏华尔化工有限公司；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连云港欧亚气体有限公司；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科莱恩丰益脂肪胺（连云港）有限公司；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江苏三吉利化工股份有限公司;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丰益高分子材料（连云港）有限公司；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丰益油脂科技（连云港）有限公司；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连云港市工投集团利海化工有限公司；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科邦石化（连云港）有限公司；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连云港本一新材料科技有限公司；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江苏德源药业股份有限公司；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江苏宇田医药有限公司；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江苏豪森药业集团有限公司；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连云港杜钟新奥神氨纶有限公司；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江苏诺泰澳赛诺生物制药股份有限公司；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江苏暨明医药科技有限公司；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连云港润众制药有限公司；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锦太洋(连云港)新材料有限公司；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连云港石化有限公司；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江苏思派新能源科技有限公司；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连云港瑞龙气体有限公司；</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东海县环宇气体供应站；</w:t>
            </w:r>
          </w:p>
          <w:p>
            <w:pPr>
              <w:widowControl/>
              <w:numPr>
                <w:ilvl w:val="0"/>
                <w:numId w:val="8"/>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连云港荣泰化工仓储有限公司。</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1633" w:hRule="atLeast"/>
          <w:jc w:val="center"/>
        </w:trPr>
        <w:tc>
          <w:tcPr>
            <w:tcW w:w="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配合部门</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配合部门</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配合部门</w:t>
            </w:r>
          </w:p>
          <w:p>
            <w:pPr>
              <w:widowControl/>
              <w:spacing w:line="240" w:lineRule="exact"/>
              <w:jc w:val="center"/>
              <w:rPr>
                <w:rFonts w:ascii="Times New Roman" w:hAnsi="Times New Roman" w:eastAsia="仿宋_GB2312" w:cs="Times New Roman"/>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工信局</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1.监控化学品生产、使用、分析等原始操作记录是否完整；</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2.宣布数据与年度盘点情况是否一致；</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3.是否制定并更新《接受国际视察预案》和《视察前情况介绍》</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《中华人民共和国监控化学品管理条例》及实施细则</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对监控化学品进行监管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1．第二类监控化学品生产、使用、经营企业管理；</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2.第三类监控化学品生产企业管理；</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3.第四类监控化学品生产企业管理。</w:t>
            </w:r>
          </w:p>
        </w:tc>
        <w:tc>
          <w:tcPr>
            <w:tcW w:w="2268"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40" w:hRule="atLeast"/>
          <w:jc w:val="center"/>
        </w:trPr>
        <w:tc>
          <w:tcPr>
            <w:tcW w:w="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生态环境局</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生态环境局</w:t>
            </w:r>
          </w:p>
          <w:p>
            <w:pPr>
              <w:widowControl/>
              <w:spacing w:line="240" w:lineRule="exact"/>
              <w:rPr>
                <w:rFonts w:ascii="Times New Roman" w:hAnsi="Times New Roman" w:eastAsia="仿宋_GB2312" w:cs="Times New Roman"/>
                <w:color w:val="000000"/>
                <w:kern w:val="0"/>
                <w:szCs w:val="21"/>
              </w:rPr>
            </w:pP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1.对企业开展环境安全隐患排查治理情况的行政检查；对企业环境应急预案编制修订备案及风险评估情况的行政检查；</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2.对企业建设项目环境影响评价制度及“三同时”制度执行情况检查；</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3.对企业排污许可制度执行情况检查；</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4.对企业大气、水、固危废、噪声污染防治情况检查。</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1.《中华人民共和国环境影响评价法》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2.《建设项目环境保护管理条例》</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3.《中华人民共和国大气污染防治法》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4.《中华人民共和国水污染防治法》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5.《中华人民共和国土壤污染防治法》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6.《中华人民共和国固体废物污染环境防治法》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7.《中华人民共和国环境噪声污染防治法》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8.《排污许可管理条例》</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9.《突发环境事件应急管理办法》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10.《畜禽规模养殖污染防治条例》</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对企业环境保护管理制度落实情况的监管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1.对企业开展环境安全隐患排查治理情况的行政检查；对企业环境应急预案编制修订备案及风险评估情况的行政检查；</w:t>
            </w:r>
          </w:p>
          <w:p>
            <w:pPr>
              <w:widowControl/>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2.对企业建设项目环境影响评价制度及“三同时”制度执行情况检查；</w:t>
            </w:r>
          </w:p>
          <w:p>
            <w:pPr>
              <w:widowControl/>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3.对企业排污许可制度执行情况检查；</w:t>
            </w:r>
          </w:p>
          <w:p>
            <w:pPr>
              <w:widowControl/>
              <w:spacing w:line="22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spacing w:val="-8"/>
                <w:kern w:val="0"/>
                <w:szCs w:val="21"/>
              </w:rPr>
              <w:t>4.对企业大气、水、固危废、噪声污染防治情况检查。</w:t>
            </w:r>
          </w:p>
        </w:tc>
        <w:tc>
          <w:tcPr>
            <w:tcW w:w="2268"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40" w:hRule="atLeast"/>
          <w:jc w:val="center"/>
        </w:trPr>
        <w:tc>
          <w:tcPr>
            <w:tcW w:w="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市场局</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1.所抽查设备办理使用登记</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2.所抽查设备在检验有效期内</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3.按要求建立设备档案且档案齐全</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4.所抽查设备按要求进行经常性维护保养或者定期自行检查并有记录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5.有设备故障.异常情况处理记录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6.有事故隐患排查和整治记录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7.安全管理人员和作业人员证件在有效期内，项目符合要求并办理聘用手续</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8.有特种设备作业人员培训考核记录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9.按规定设置安全管理机构或配备专兼职安全管理人员，并书面任命安全责任人</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10.建立并实施安全管理制度和操作规程</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11.制定事故应急（专项）预案并有演练记录</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1.《中华人民共和国特种设备安全法》第五十七条</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2.《特种设备安全监察条例》第五十条</w:t>
            </w:r>
          </w:p>
          <w:p>
            <w:pPr>
              <w:widowControl/>
              <w:spacing w:line="240" w:lineRule="exact"/>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对特种设备使用的监管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1.对特种设备使用单位的行政检查</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2.对特种设备使用单位的行政处罚</w:t>
            </w:r>
          </w:p>
          <w:p>
            <w:pPr>
              <w:widowControl/>
              <w:spacing w:line="240" w:lineRule="exact"/>
              <w:rPr>
                <w:rFonts w:ascii="Times New Roman" w:hAnsi="Times New Roman" w:eastAsia="仿宋_GB2312" w:cs="Times New Roman"/>
                <w:color w:val="000000"/>
                <w:kern w:val="0"/>
                <w:szCs w:val="21"/>
              </w:rPr>
            </w:pPr>
          </w:p>
        </w:tc>
        <w:tc>
          <w:tcPr>
            <w:tcW w:w="2268"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spacing w:val="-8"/>
                <w:kern w:val="0"/>
                <w:szCs w:val="21"/>
              </w:rPr>
              <w:t>按照事权划分，特种设备使用单位的监督检查由县区局负责。根据往常惯例及制定程序，市级市场监管系统的年度监督检查计划一般于每年省局年度监督检查计划出台后，二、三月份制定，最终监督检查单位名单以年度监督检查计划为准</w:t>
            </w:r>
            <w:r>
              <w:rPr>
                <w:rFonts w:ascii="Times New Roman" w:hAnsi="Times New Roman" w:eastAsia="仿宋_GB2312" w:cs="Times New Roman"/>
                <w:color w:val="000000"/>
                <w:kern w:val="0"/>
                <w:szCs w:val="21"/>
              </w:rPr>
              <w:t>。</w:t>
            </w:r>
          </w:p>
        </w:tc>
      </w:tr>
      <w:tr>
        <w:tblPrEx>
          <w:tblCellMar>
            <w:top w:w="0" w:type="dxa"/>
            <w:left w:w="108" w:type="dxa"/>
            <w:bottom w:w="0" w:type="dxa"/>
            <w:right w:w="108" w:type="dxa"/>
          </w:tblCellMar>
        </w:tblPrEx>
        <w:trPr>
          <w:trHeight w:val="240" w:hRule="atLeast"/>
          <w:jc w:val="center"/>
        </w:trPr>
        <w:tc>
          <w:tcPr>
            <w:tcW w:w="697"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tc>
        <w:tc>
          <w:tcPr>
            <w:tcW w:w="71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危化企业场景清单</w:t>
            </w:r>
          </w:p>
          <w:p>
            <w:pPr>
              <w:widowControl/>
              <w:spacing w:line="240" w:lineRule="exact"/>
              <w:jc w:val="left"/>
              <w:rPr>
                <w:rFonts w:ascii="Times New Roman" w:hAnsi="Times New Roman" w:eastAsia="仿宋_GB2312" w:cs="Times New Roman"/>
                <w:color w:val="000000"/>
                <w:kern w:val="0"/>
                <w:szCs w:val="21"/>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消防</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支队</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1.消防安全管理制度落实情况；</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2.消防设施设备运行、维护情况；</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3.单位应急预案制定、培训、演练情况；</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1、中华人民共和国消防法；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2、江苏省消防条例；</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对单位消防安全主体责任的落实</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1.消防安全管理；</w:t>
            </w:r>
          </w:p>
          <w:p>
            <w:pPr>
              <w:widowControl/>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2.建筑防火；</w:t>
            </w:r>
          </w:p>
          <w:p>
            <w:pPr>
              <w:widowControl/>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3.安全疏散；</w:t>
            </w:r>
          </w:p>
          <w:p>
            <w:pPr>
              <w:widowControl/>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4.消防控制室；</w:t>
            </w:r>
          </w:p>
          <w:p>
            <w:pPr>
              <w:widowControl/>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5.消防设施器材；</w:t>
            </w:r>
          </w:p>
          <w:p>
            <w:pPr>
              <w:widowControl/>
              <w:spacing w:line="22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spacing w:val="-8"/>
                <w:kern w:val="0"/>
                <w:szCs w:val="21"/>
              </w:rPr>
              <w:t>6.其他消防安全管理</w:t>
            </w:r>
          </w:p>
        </w:tc>
        <w:tc>
          <w:tcPr>
            <w:tcW w:w="2268"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40" w:hRule="atLeast"/>
          <w:jc w:val="center"/>
        </w:trPr>
        <w:tc>
          <w:tcPr>
            <w:tcW w:w="69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tc>
        <w:tc>
          <w:tcPr>
            <w:tcW w:w="7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非煤矿山场景清单</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非煤矿山场景清单</w:t>
            </w:r>
          </w:p>
          <w:p>
            <w:pPr>
              <w:widowControl/>
              <w:spacing w:line="240" w:lineRule="exact"/>
              <w:jc w:val="center"/>
              <w:rPr>
                <w:rFonts w:ascii="Times New Roman" w:hAnsi="Times New Roman" w:eastAsia="仿宋_GB2312" w:cs="Times New Roman"/>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牵头部门</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应急管理局</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tc>
        <w:tc>
          <w:tcPr>
            <w:tcW w:w="3402" w:type="dxa"/>
            <w:tcBorders>
              <w:top w:val="nil"/>
              <w:left w:val="nil"/>
              <w:bottom w:val="single" w:color="auto" w:sz="4" w:space="0"/>
              <w:right w:val="single" w:color="auto" w:sz="4" w:space="0"/>
            </w:tcBorders>
            <w:shd w:val="clear" w:color="auto" w:fill="auto"/>
            <w:vAlign w:val="center"/>
          </w:tcPr>
          <w:p>
            <w:pPr>
              <w:widowControl/>
              <w:tabs>
                <w:tab w:val="left" w:pos="312"/>
              </w:tabs>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1.对是否建立和落实安全生产责任制情况的检查；</w:t>
            </w:r>
          </w:p>
          <w:p>
            <w:pPr>
              <w:widowControl/>
              <w:tabs>
                <w:tab w:val="left" w:pos="312"/>
              </w:tabs>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2.对是否进行安全生产投入情况的检查；</w:t>
            </w:r>
          </w:p>
          <w:p>
            <w:pPr>
              <w:widowControl/>
              <w:tabs>
                <w:tab w:val="left" w:pos="312"/>
              </w:tabs>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3.对是否设立安全生产管理机构和管理人员情况的检查；</w:t>
            </w:r>
          </w:p>
          <w:p>
            <w:pPr>
              <w:widowControl/>
              <w:tabs>
                <w:tab w:val="left" w:pos="312"/>
              </w:tabs>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4.是否对从业人员受到安全生产教育、培训情况的检查；</w:t>
            </w:r>
          </w:p>
          <w:p>
            <w:pPr>
              <w:widowControl/>
              <w:tabs>
                <w:tab w:val="left" w:pos="312"/>
              </w:tabs>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5.是否对安全设备设施的维护、保养、定期检测情况的检查；</w:t>
            </w:r>
          </w:p>
          <w:p>
            <w:pPr>
              <w:widowControl/>
              <w:tabs>
                <w:tab w:val="left" w:pos="312"/>
              </w:tabs>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6.是否对劳保用品配备和使用情况的检查；</w:t>
            </w:r>
          </w:p>
          <w:p>
            <w:pPr>
              <w:widowControl/>
              <w:tabs>
                <w:tab w:val="left" w:pos="312"/>
              </w:tabs>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7.是否对外协工单位管理情况的检查；</w:t>
            </w:r>
          </w:p>
          <w:p>
            <w:pPr>
              <w:widowControl/>
              <w:tabs>
                <w:tab w:val="left" w:pos="312"/>
              </w:tabs>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8.是否组织对安全生产检查，及时排查治理生产安全事故隐患情况的检查；</w:t>
            </w:r>
          </w:p>
          <w:p>
            <w:pPr>
              <w:widowControl/>
              <w:tabs>
                <w:tab w:val="left" w:pos="312"/>
              </w:tabs>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9.对是否制定、实施生产安全事故应急预案情况的检查；</w:t>
            </w:r>
          </w:p>
          <w:p>
            <w:pPr>
              <w:widowControl/>
              <w:tabs>
                <w:tab w:val="left" w:pos="312"/>
              </w:tabs>
              <w:spacing w:line="220" w:lineRule="exact"/>
              <w:rPr>
                <w:rFonts w:ascii="Times New Roman" w:hAnsi="Times New Roman" w:eastAsia="仿宋_GB2312" w:cs="Times New Roman"/>
                <w:color w:val="000000"/>
                <w:spacing w:val="-8"/>
                <w:kern w:val="0"/>
                <w:szCs w:val="21"/>
              </w:rPr>
            </w:pPr>
            <w:r>
              <w:rPr>
                <w:rFonts w:ascii="Times New Roman" w:hAnsi="Times New Roman" w:eastAsia="仿宋_GB2312" w:cs="Times New Roman"/>
                <w:color w:val="000000"/>
                <w:spacing w:val="-8"/>
                <w:kern w:val="0"/>
                <w:szCs w:val="21"/>
              </w:rPr>
              <w:t>11.对金属、非金属矿山企业是否建立应急救援组织情况的检查；</w:t>
            </w:r>
          </w:p>
          <w:p>
            <w:pPr>
              <w:widowControl/>
              <w:tabs>
                <w:tab w:val="left" w:pos="312"/>
              </w:tabs>
              <w:spacing w:line="22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spacing w:val="-8"/>
                <w:kern w:val="0"/>
                <w:szCs w:val="21"/>
              </w:rPr>
              <w:t>12.对工业企业安全生产风险报告是否填报情况的检查。</w:t>
            </w: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1.《安全生产法》；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2.《金属非金属矿山安全规程》；</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3.《金属非金属矿山重大事故隐患判定标准》；</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4.《江苏省工业企业安全生产风险报告规定》（省政府令第 140 号）。</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对非煤矿山企业监管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1.对非煤矿山企业的行政检查；</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2.对非煤矿企业的行政处罚。</w:t>
            </w:r>
          </w:p>
          <w:p>
            <w:pPr>
              <w:widowControl/>
              <w:spacing w:line="240" w:lineRule="exact"/>
              <w:rPr>
                <w:rFonts w:ascii="Times New Roman" w:hAnsi="Times New Roman" w:eastAsia="仿宋_GB2312" w:cs="Times New Roman"/>
                <w:color w:val="000000"/>
                <w:kern w:val="0"/>
                <w:szCs w:val="21"/>
              </w:rPr>
            </w:pPr>
          </w:p>
        </w:tc>
        <w:tc>
          <w:tcPr>
            <w:tcW w:w="2268" w:type="dxa"/>
            <w:vMerge w:val="restart"/>
            <w:tcBorders>
              <w:top w:val="single" w:color="auto" w:sz="4" w:space="0"/>
              <w:left w:val="nil"/>
              <w:bottom w:val="single" w:color="auto" w:sz="4" w:space="0"/>
              <w:right w:val="single" w:color="auto" w:sz="4" w:space="0"/>
            </w:tcBorders>
            <w:shd w:val="clear" w:color="auto" w:fill="auto"/>
            <w:vAlign w:val="center"/>
          </w:tcPr>
          <w:p>
            <w:pPr>
              <w:pStyle w:val="20"/>
              <w:spacing w:line="240" w:lineRule="exact"/>
              <w:ind w:firstLine="0" w:firstLineChars="0"/>
              <w:rPr>
                <w:rFonts w:ascii="Times New Roman" w:hAnsi="Times New Roman" w:eastAsia="仿宋_GB2312"/>
                <w:color w:val="000000"/>
                <w:sz w:val="21"/>
                <w:szCs w:val="21"/>
              </w:rPr>
            </w:pPr>
            <w:r>
              <w:rPr>
                <w:rFonts w:ascii="Times New Roman" w:hAnsi="Times New Roman" w:eastAsia="仿宋_GB2312"/>
                <w:color w:val="000000"/>
                <w:sz w:val="21"/>
                <w:szCs w:val="21"/>
              </w:rPr>
              <w:t>1.东海县上铁道砟有限公司白岭村南矿区。</w:t>
            </w:r>
          </w:p>
          <w:p>
            <w:pPr>
              <w:widowControl/>
              <w:spacing w:line="240" w:lineRule="exact"/>
              <w:rPr>
                <w:rFonts w:ascii="Times New Roman" w:hAnsi="Times New Roman" w:eastAsia="仿宋_GB2312" w:cs="Times New Roman"/>
                <w:color w:val="000000"/>
                <w:kern w:val="0"/>
                <w:szCs w:val="21"/>
              </w:rPr>
            </w:pPr>
          </w:p>
        </w:tc>
        <w:tc>
          <w:tcPr>
            <w:tcW w:w="118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40" w:hRule="atLeast"/>
          <w:jc w:val="center"/>
        </w:trPr>
        <w:tc>
          <w:tcPr>
            <w:tcW w:w="69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配合部门</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公安局</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爆破作业现场安全监管</w:t>
            </w: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民用爆炸物品安全管理条例</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对民用爆炸物品的监管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对爆破作业现场的检查</w:t>
            </w:r>
          </w:p>
        </w:tc>
        <w:tc>
          <w:tcPr>
            <w:tcW w:w="2268" w:type="dxa"/>
            <w:vMerge w:val="continue"/>
            <w:tcBorders>
              <w:top w:val="single" w:color="auto" w:sz="4" w:space="0"/>
              <w:left w:val="nil"/>
              <w:right w:val="single" w:color="auto" w:sz="4" w:space="0"/>
            </w:tcBorders>
            <w:shd w:val="clear" w:color="auto" w:fill="auto"/>
            <w:vAlign w:val="center"/>
          </w:tcPr>
          <w:p>
            <w:pPr>
              <w:widowControl/>
              <w:numPr>
                <w:ilvl w:val="0"/>
                <w:numId w:val="9"/>
              </w:numPr>
              <w:spacing w:line="240" w:lineRule="exact"/>
              <w:rPr>
                <w:rFonts w:ascii="Times New Roman" w:hAnsi="Times New Roman" w:eastAsia="仿宋_GB2312" w:cs="Times New Roman"/>
                <w:color w:val="000000"/>
                <w:kern w:val="0"/>
                <w:szCs w:val="21"/>
              </w:rPr>
            </w:pPr>
          </w:p>
        </w:tc>
        <w:tc>
          <w:tcPr>
            <w:tcW w:w="118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40" w:hRule="atLeast"/>
          <w:jc w:val="center"/>
        </w:trPr>
        <w:tc>
          <w:tcPr>
            <w:tcW w:w="69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7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自然资源局</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是否严格按照开发利用方案规范开采，是否存在越层越界开采行为</w:t>
            </w: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矿产资源法</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对矿山开采的监管</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1.对矿山开采的行政检查</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2.对矿山开采的行政处罚</w:t>
            </w:r>
          </w:p>
        </w:tc>
        <w:tc>
          <w:tcPr>
            <w:tcW w:w="2268" w:type="dxa"/>
            <w:vMerge w:val="continue"/>
            <w:tcBorders>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p>
        </w:tc>
        <w:tc>
          <w:tcPr>
            <w:tcW w:w="118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40" w:hRule="atLeast"/>
          <w:jc w:val="center"/>
        </w:trPr>
        <w:tc>
          <w:tcPr>
            <w:tcW w:w="6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w:t>
            </w: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冶金等工贸场景清单</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冶金等工贸场景清单</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冶金等工贸场景清单</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冶金等工贸场景清单</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冶金等工贸场景清单</w:t>
            </w:r>
          </w:p>
          <w:p>
            <w:pPr>
              <w:widowControl/>
              <w:spacing w:line="240" w:lineRule="exact"/>
              <w:jc w:val="center"/>
              <w:rPr>
                <w:rFonts w:ascii="Times New Roman" w:hAnsi="Times New Roman" w:eastAsia="仿宋_GB2312" w:cs="Times New Roman"/>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牵头部门</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牵头部门</w:t>
            </w:r>
          </w:p>
          <w:p>
            <w:pPr>
              <w:widowControl/>
              <w:spacing w:line="240" w:lineRule="exact"/>
              <w:jc w:val="center"/>
              <w:rPr>
                <w:rFonts w:ascii="Times New Roman" w:hAnsi="Times New Roman" w:eastAsia="仿宋_GB2312" w:cs="Times New Roman"/>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应急管</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理局</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应急管</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理局</w:t>
            </w:r>
          </w:p>
          <w:p>
            <w:pPr>
              <w:widowControl/>
              <w:spacing w:line="240" w:lineRule="exact"/>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10"/>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对是否建立和落实安全生产责任制情况的检查；</w:t>
            </w:r>
          </w:p>
          <w:p>
            <w:pPr>
              <w:widowControl/>
              <w:numPr>
                <w:ilvl w:val="0"/>
                <w:numId w:val="10"/>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是否对安全生产投入情况的检查；</w:t>
            </w:r>
          </w:p>
          <w:p>
            <w:pPr>
              <w:widowControl/>
              <w:numPr>
                <w:ilvl w:val="0"/>
                <w:numId w:val="10"/>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对是否设立安全生产管理机构和管理人员情况的检查；</w:t>
            </w:r>
          </w:p>
          <w:p>
            <w:pPr>
              <w:widowControl/>
              <w:numPr>
                <w:ilvl w:val="0"/>
                <w:numId w:val="10"/>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对是否对从业人员安全生产教育、培训情况的检查；</w:t>
            </w:r>
          </w:p>
          <w:p>
            <w:pPr>
              <w:widowControl/>
              <w:numPr>
                <w:ilvl w:val="0"/>
                <w:numId w:val="10"/>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对是否按规定对安全设备设施的维护、保养、定期检测情况的检查；</w:t>
            </w:r>
          </w:p>
          <w:p>
            <w:pPr>
              <w:widowControl/>
              <w:numPr>
                <w:ilvl w:val="0"/>
                <w:numId w:val="10"/>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对是否为工人配备劳保用品和使用情况的检查；</w:t>
            </w:r>
          </w:p>
          <w:p>
            <w:pPr>
              <w:widowControl/>
              <w:numPr>
                <w:ilvl w:val="0"/>
                <w:numId w:val="10"/>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是否对外协工单位管理情况的检查；</w:t>
            </w:r>
          </w:p>
          <w:p>
            <w:pPr>
              <w:widowControl/>
              <w:numPr>
                <w:ilvl w:val="0"/>
                <w:numId w:val="10"/>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对是否组织安全生产检查，及时排查治理生产安全事故隐患情况的检查；</w:t>
            </w:r>
          </w:p>
          <w:p>
            <w:pPr>
              <w:widowControl/>
              <w:numPr>
                <w:ilvl w:val="0"/>
                <w:numId w:val="10"/>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对是否制定、实施生产安全事故应急预案情况的检查；</w:t>
            </w:r>
          </w:p>
          <w:p>
            <w:pPr>
              <w:widowControl/>
              <w:numPr>
                <w:ilvl w:val="0"/>
                <w:numId w:val="10"/>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对冶金等工贸企业是否建立应急救援组织情况的检查；</w:t>
            </w:r>
          </w:p>
          <w:p>
            <w:pPr>
              <w:widowControl/>
              <w:numPr>
                <w:ilvl w:val="0"/>
                <w:numId w:val="10"/>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对工业企业安全生产风险报告是否填报情况的检查。</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1.《安全生产法》;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2.《江苏省安全生产条例》;</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3.《江苏省工业企业安全生产风险报告规定》（省政府令第140 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对冶金等工贸企业监管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1.对冶金等工贸企业的行政检查；</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2.对冶金等工贸企业的行政处罚。</w:t>
            </w:r>
          </w:p>
          <w:p>
            <w:pPr>
              <w:widowControl/>
              <w:spacing w:line="240" w:lineRule="exact"/>
              <w:rPr>
                <w:rFonts w:ascii="Times New Roman" w:hAnsi="Times New Roman" w:eastAsia="仿宋_GB2312" w:cs="Times New Roman"/>
                <w:color w:val="000000"/>
                <w:kern w:val="0"/>
                <w:szCs w:val="21"/>
              </w:rPr>
            </w:pPr>
          </w:p>
        </w:tc>
        <w:tc>
          <w:tcPr>
            <w:tcW w:w="2268" w:type="dxa"/>
            <w:vMerge w:val="restart"/>
            <w:tcBorders>
              <w:top w:val="single" w:color="auto" w:sz="4" w:space="0"/>
              <w:left w:val="nil"/>
              <w:bottom w:val="single" w:color="auto" w:sz="4" w:space="0"/>
              <w:right w:val="single" w:color="auto" w:sz="4" w:space="0"/>
            </w:tcBorders>
            <w:shd w:val="clear" w:color="auto" w:fill="auto"/>
            <w:vAlign w:val="center"/>
          </w:tcPr>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连云港畅伦交通器材有限公司；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连云港鑫旗铸造有限公司；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连云港天才照明电器有限公司；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江苏统万酿造有限公司 ；</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江苏尧天服饰有限公司；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连云港市九洲电控设备有限公司；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连云港源泰皮业有限公司；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连云港万森皮业有限公司；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连云港诺旭镁制品有限公司；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江苏东辉再生物资有限公司；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连云港明昊电子有限公司；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连云港德友精工科技有限公司；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江苏东霞纺织集团有限公司；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灌南正方模具钢材料有限公司；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连云港欧尼斯特泵业有限公司；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连云港金典纺织科技有限公司；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江苏梦兴诺食品有限公司；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江苏太平洋石英股份有限公司；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光明集团连云港家具有限公司；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连云港福莱特木业有限公司；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灌南钰诚机械设备有限公司；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连云港金泉皮业有限公司；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连云港铸邦石化设备有限公司；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连云港市如一机械加工有限公司；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连云港云善机械有限公司；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连云港君盛包装制品有限公司；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连云港市赣榆区繁荣铸造厂；</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江苏润睿生物科技有限公司；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江苏龙河酒业有限公司；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江苏凯序金原纸塑包装有限公司；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连云港乐享居木业有限公司；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连云港市金铂尔木业有限公司；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江苏佰益海洋科技有限公司；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连云港华洋玩具有限公司；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连云港港丰皮业有限公司；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灌南县中海化工机械设备厂；</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常茂生物连云港有限公司；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云港神龙涧建材有限公司；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连云港美雅舒智能家具有限公司；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中复碳芯电缆科技有限公司；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连云港前沿机械有限公司；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中复新水源科技有限公司；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连云港海创电子科技有限公司；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江苏联宇医疗器械有限公司；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连云港市振扬纸品有限公司；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连云港华昌生物工程有限公司；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连云港市华达铸件有限公司；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连云港赣榆腾飞机械铸造有限公司；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江苏得乐康生物科技有限公司；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江苏口缘镁业有限公司；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连云港安托山混凝土制品有限公司；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江苏百安达新材料有限公司；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连云港巴多斯服装有限公司；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连云港益云金属工业有限公司；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连云港竞洋利食品有限公司；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江苏弗瑞斯节能电器有限公司；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江苏赫尔斯镀膜技术有限公司；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丰山（连云港）新材料有限公司；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江苏德立信电子科技有限公司；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连云港良武铝业有限公司；</w:t>
            </w:r>
          </w:p>
          <w:p>
            <w:pPr>
              <w:widowControl/>
              <w:numPr>
                <w:ilvl w:val="0"/>
                <w:numId w:val="11"/>
              </w:num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连云港市群盛机械有限公司；　</w:t>
            </w:r>
          </w:p>
        </w:tc>
        <w:tc>
          <w:tcPr>
            <w:tcW w:w="118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40" w:hRule="atLeast"/>
          <w:jc w:val="center"/>
        </w:trPr>
        <w:tc>
          <w:tcPr>
            <w:tcW w:w="69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71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7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配合部门</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配合部门</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配合部门</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配合部门</w:t>
            </w:r>
          </w:p>
          <w:p>
            <w:pPr>
              <w:widowControl/>
              <w:spacing w:line="240" w:lineRule="exact"/>
              <w:jc w:val="center"/>
              <w:rPr>
                <w:rFonts w:ascii="Times New Roman" w:hAnsi="Times New Roman" w:eastAsia="仿宋_GB2312" w:cs="Times New Roman"/>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生态环境局</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1.对企业开展环境安全隐患排查治理情况的行政检查；对企业环境应急预案编制修订备案及风险评估情况的行政检查；</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2.对企业建设项目环境影响评价制度及“三同时”制度执行情况检查；</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3.对企业排污许可制度执行情况检查；</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4.对企业大气、水、固危废、噪声污染防治情况检查。</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1.《中华人民共和国环境影响评价法》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2.《建设项目环境保护管理条例》</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3.《中华人民共和国大气污染防治法》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4.《中华人民共和国水污染防治法》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5.《中华人民共和国土壤污染防治法》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6.《中华人民共和国固体废物污染环境防治法》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7.《中华人民共和国环境噪声污染防治法》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8.《排污许可管理条例》</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9.《突发环境事件应急管理办法》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10.《畜禽规模养殖污染防治条例》</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对企业环境保护管理制度落实情况的监管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1.对企业开展环境安全隐患排查治理情况的行政检查；对企业环境应急预案编制修订备案及风险评估情况的行政检查；</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2.对企业建设项目环境影响评价制度及“三同时”制度执行情况检查；</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3.对企业排污许可制度执行情况检查；</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4.对企业大气、水、固危废、噪声污染防治情况检查。</w:t>
            </w:r>
          </w:p>
        </w:tc>
        <w:tc>
          <w:tcPr>
            <w:tcW w:w="2268"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p>
        </w:tc>
        <w:tc>
          <w:tcPr>
            <w:tcW w:w="118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40" w:hRule="atLeast"/>
          <w:jc w:val="center"/>
        </w:trPr>
        <w:tc>
          <w:tcPr>
            <w:tcW w:w="69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851"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市场局</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卫健委</w:t>
            </w:r>
          </w:p>
        </w:tc>
        <w:tc>
          <w:tcPr>
            <w:tcW w:w="3402" w:type="dxa"/>
            <w:vMerge w:val="restart"/>
            <w:tcBorders>
              <w:top w:val="nil"/>
              <w:left w:val="nil"/>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1.所抽查设备办理使用登记</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2.所抽查设备在检验有效期内</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3.按要求建立设备档案且档案齐全</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4.所抽查设备按要求进行经常性维护保养或者定期自行检查并有记录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5.有设备故障.异常情况处理记录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6.有事故隐患排查和整治记录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7.安全管理人员和作业人员证件在有效期内，项目符合要求并办理聘用手续</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8.有特种设备作业人员培训考核记录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9.按规定设置安全管理机构或配备专兼职安全管理人员，并书面任命安全责任人</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10.建立并实施安全管理制度和操作规程</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11.制定事故应急（专项）预案并有演练记录</w:t>
            </w: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1.职业病防治管理组织和措施；</w:t>
            </w: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2.职业卫生培训；</w:t>
            </w: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3.建设项目职业病防护设施“三同时”；</w:t>
            </w: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4.劳动者职业健康监护；</w:t>
            </w:r>
          </w:p>
          <w:p>
            <w:pPr>
              <w:tabs>
                <w:tab w:val="left" w:pos="312"/>
              </w:tabs>
              <w:spacing w:line="240" w:lineRule="exact"/>
              <w:rPr>
                <w:rFonts w:ascii="Times New Roman" w:hAnsi="Times New Roman" w:eastAsia="仿宋_GB2312" w:cs="Times New Roman"/>
                <w:szCs w:val="21"/>
              </w:rPr>
            </w:pPr>
            <w:r>
              <w:rPr>
                <w:rFonts w:ascii="Times New Roman" w:hAnsi="Times New Roman" w:eastAsia="仿宋_GB2312" w:cs="Times New Roman"/>
                <w:color w:val="000000"/>
                <w:kern w:val="0"/>
                <w:szCs w:val="21"/>
              </w:rPr>
              <w:t>5.工作场所职业卫生管理；</w:t>
            </w:r>
          </w:p>
        </w:tc>
        <w:tc>
          <w:tcPr>
            <w:tcW w:w="3260" w:type="dxa"/>
            <w:vMerge w:val="restart"/>
            <w:tcBorders>
              <w:top w:val="nil"/>
              <w:left w:val="nil"/>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1.《中华人民共和国特种设备安全法》第五十七条</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2.《特种设备安全监察条例》第五十条</w:t>
            </w: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p>
          <w:p>
            <w:pPr>
              <w:widowControl/>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1.《中华人民共和国职业病防治法》</w:t>
            </w:r>
          </w:p>
          <w:p>
            <w:pPr>
              <w:tabs>
                <w:tab w:val="left" w:pos="312"/>
              </w:tabs>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2.《工作场所职业卫生管理规定》</w:t>
            </w:r>
          </w:p>
        </w:tc>
        <w:tc>
          <w:tcPr>
            <w:tcW w:w="1134" w:type="dxa"/>
            <w:vMerge w:val="restart"/>
            <w:tcBorders>
              <w:top w:val="nil"/>
              <w:left w:val="nil"/>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对特种设备使用的监管</w:t>
            </w: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p>
          <w:p>
            <w:pPr>
              <w:spacing w:line="240" w:lineRule="exact"/>
              <w:rPr>
                <w:rFonts w:ascii="Times New Roman" w:hAnsi="Times New Roman" w:eastAsia="仿宋_GB2312" w:cs="Times New Roman"/>
                <w:color w:val="000000"/>
                <w:kern w:val="0"/>
                <w:szCs w:val="21"/>
              </w:rPr>
            </w:pPr>
          </w:p>
          <w:p>
            <w:pPr>
              <w:spacing w:line="240" w:lineRule="exact"/>
              <w:rPr>
                <w:rFonts w:ascii="Times New Roman" w:hAnsi="Times New Roman" w:eastAsia="仿宋_GB2312" w:cs="Times New Roman"/>
                <w:color w:val="000000"/>
                <w:kern w:val="0"/>
                <w:szCs w:val="21"/>
              </w:rPr>
            </w:pPr>
          </w:p>
          <w:p>
            <w:pPr>
              <w:spacing w:line="240" w:lineRule="exact"/>
              <w:rPr>
                <w:rFonts w:ascii="Times New Roman" w:hAnsi="Times New Roman" w:eastAsia="仿宋_GB2312" w:cs="Times New Roman"/>
                <w:color w:val="000000"/>
                <w:kern w:val="0"/>
                <w:szCs w:val="21"/>
              </w:rPr>
            </w:pPr>
          </w:p>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对用人单位是否落实职业病防治措施的监管</w:t>
            </w:r>
          </w:p>
        </w:tc>
        <w:tc>
          <w:tcPr>
            <w:tcW w:w="1701" w:type="dxa"/>
            <w:vMerge w:val="restart"/>
            <w:tcBorders>
              <w:top w:val="single" w:color="auto" w:sz="4" w:space="0"/>
              <w:left w:val="nil"/>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1.对特种设备使用单位的行政检查</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2.对特种设备使用单位的行政处罚</w:t>
            </w:r>
          </w:p>
          <w:p>
            <w:pPr>
              <w:widowControl/>
              <w:spacing w:line="240" w:lineRule="exact"/>
              <w:rPr>
                <w:rFonts w:ascii="Times New Roman" w:hAnsi="Times New Roman" w:eastAsia="仿宋_GB2312" w:cs="Times New Roman"/>
                <w:color w:val="000000"/>
                <w:kern w:val="0"/>
                <w:szCs w:val="21"/>
              </w:rPr>
            </w:pP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对是否按规定开展工作场所职业病危害因素监测、检测、评价的行政检查；2.对是否按规定开展工作场所职业病危害因素监测、检测、评价的行政处罚；3.对是否按规定开展劳动者职业健康监护行政检查；4.对是否按规定开展劳动者职业健康监护行政处罚；5.对是否组织职业卫生培训行为的行政检查； 6.对是否组织职业卫生培训行为的行政处罚；7.对是否落实建设项目职业病防护设施“三同时”制度的行政检查；</w:t>
            </w:r>
          </w:p>
          <w:p>
            <w:pPr>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8.对是否落实建设项目职业病防护设施“三同时”制度的行政处罚；</w:t>
            </w:r>
          </w:p>
        </w:tc>
        <w:tc>
          <w:tcPr>
            <w:tcW w:w="2268"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p>
        </w:tc>
        <w:tc>
          <w:tcPr>
            <w:tcW w:w="118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按照事权划分，特种设备使用单位的监督检查由县区局负责。根据往常惯例及制定程序，市级市场监管系统的年度监督检查计划一般于每年省局年度监督检查计划出台后，二、三月份制定，最终监督检查单位名单以年度监督检查计划为准。</w:t>
            </w:r>
          </w:p>
          <w:p>
            <w:pPr>
              <w:widowControl/>
              <w:spacing w:line="240" w:lineRule="exact"/>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240" w:hRule="atLeast"/>
          <w:jc w:val="center"/>
        </w:trPr>
        <w:tc>
          <w:tcPr>
            <w:tcW w:w="69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851"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3402" w:type="dxa"/>
            <w:vMerge w:val="continue"/>
            <w:tcBorders>
              <w:left w:val="nil"/>
              <w:bottom w:val="single" w:color="auto" w:sz="4" w:space="0"/>
              <w:right w:val="single" w:color="auto" w:sz="4" w:space="0"/>
            </w:tcBorders>
            <w:shd w:val="clear" w:color="auto" w:fill="auto"/>
            <w:vAlign w:val="center"/>
          </w:tcPr>
          <w:p>
            <w:pPr>
              <w:widowControl/>
              <w:tabs>
                <w:tab w:val="left" w:pos="312"/>
              </w:tabs>
              <w:spacing w:line="240" w:lineRule="exact"/>
              <w:rPr>
                <w:rFonts w:ascii="Times New Roman" w:hAnsi="Times New Roman" w:eastAsia="仿宋_GB2312" w:cs="Times New Roman"/>
                <w:color w:val="000000"/>
                <w:kern w:val="0"/>
                <w:szCs w:val="21"/>
              </w:rPr>
            </w:pPr>
          </w:p>
        </w:tc>
        <w:tc>
          <w:tcPr>
            <w:tcW w:w="3260" w:type="dxa"/>
            <w:vMerge w:val="continue"/>
            <w:tcBorders>
              <w:left w:val="nil"/>
              <w:bottom w:val="single" w:color="auto" w:sz="4" w:space="0"/>
              <w:right w:val="single" w:color="auto" w:sz="4" w:space="0"/>
            </w:tcBorders>
            <w:shd w:val="clear" w:color="auto" w:fill="auto"/>
            <w:vAlign w:val="center"/>
          </w:tcPr>
          <w:p>
            <w:pPr>
              <w:widowControl/>
              <w:tabs>
                <w:tab w:val="left" w:pos="312"/>
              </w:tabs>
              <w:spacing w:line="240" w:lineRule="exact"/>
              <w:rPr>
                <w:rFonts w:ascii="Times New Roman" w:hAnsi="Times New Roman" w:eastAsia="仿宋_GB2312" w:cs="Times New Roman"/>
                <w:color w:val="000000"/>
                <w:kern w:val="0"/>
                <w:szCs w:val="21"/>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p>
        </w:tc>
        <w:tc>
          <w:tcPr>
            <w:tcW w:w="1701" w:type="dxa"/>
            <w:vMerge w:val="continue"/>
            <w:tcBorders>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p>
        </w:tc>
        <w:tc>
          <w:tcPr>
            <w:tcW w:w="2268" w:type="dxa"/>
            <w:vMerge w:val="continue"/>
            <w:tcBorders>
              <w:top w:val="single" w:color="auto" w:sz="4" w:space="0"/>
              <w:left w:val="nil"/>
              <w:bottom w:val="single" w:color="auto" w:sz="4" w:space="0"/>
              <w:right w:val="single" w:color="auto" w:sz="4" w:space="0"/>
            </w:tcBorders>
            <w:shd w:val="clear" w:color="auto" w:fill="auto"/>
            <w:vAlign w:val="center"/>
          </w:tcPr>
          <w:p>
            <w:pPr>
              <w:widowControl/>
              <w:numPr>
                <w:ilvl w:val="0"/>
                <w:numId w:val="12"/>
              </w:numPr>
              <w:spacing w:line="240" w:lineRule="exact"/>
              <w:rPr>
                <w:rFonts w:ascii="Times New Roman" w:hAnsi="Times New Roman" w:eastAsia="仿宋_GB2312" w:cs="Times New Roman"/>
                <w:color w:val="000000"/>
                <w:kern w:val="0"/>
                <w:szCs w:val="21"/>
              </w:rPr>
            </w:pPr>
          </w:p>
        </w:tc>
        <w:tc>
          <w:tcPr>
            <w:tcW w:w="118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40" w:hRule="atLeast"/>
          <w:jc w:val="center"/>
        </w:trPr>
        <w:tc>
          <w:tcPr>
            <w:tcW w:w="69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消防</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支队</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消防</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支队</w:t>
            </w:r>
          </w:p>
          <w:p>
            <w:pPr>
              <w:widowControl/>
              <w:spacing w:line="240" w:lineRule="exact"/>
              <w:jc w:val="center"/>
              <w:rPr>
                <w:rFonts w:ascii="Times New Roman" w:hAnsi="Times New Roman" w:eastAsia="仿宋_GB2312" w:cs="Times New Roman"/>
                <w:color w:val="000000"/>
                <w:kern w:val="0"/>
                <w:szCs w:val="21"/>
              </w:rPr>
            </w:pP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1.消防安全管理制度落实情况；</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2.消防设施设备运行情况；</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3.单位应急预案制定、培训、演练情况；</w:t>
            </w: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1.中华人民共和国消防法；</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2.江苏省消防条例；</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对单位消防安全主体责任的落实</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1.消防安全管理；</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2.建筑防火；</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3.安全疏散；</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4.消防控制室；</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5.消防设施器材；</w:t>
            </w:r>
          </w:p>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6.其他消防安全管理。</w:t>
            </w:r>
          </w:p>
        </w:tc>
        <w:tc>
          <w:tcPr>
            <w:tcW w:w="2268"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p>
        </w:tc>
        <w:tc>
          <w:tcPr>
            <w:tcW w:w="1188"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bookmarkEnd w:id="0"/>
    </w:tbl>
    <w:p>
      <w:pPr>
        <w:widowControl/>
        <w:jc w:val="left"/>
        <w:rPr>
          <w:rFonts w:ascii="Times New Roman" w:hAnsi="Times New Roman" w:cs="Times New Roman"/>
          <w:sz w:val="28"/>
          <w:szCs w:val="28"/>
        </w:rPr>
        <w:sectPr>
          <w:footerReference r:id="rId3" w:type="default"/>
          <w:footerReference r:id="rId4" w:type="even"/>
          <w:pgSz w:w="16838" w:h="11906" w:orient="landscape"/>
          <w:pgMar w:top="1800" w:right="1440" w:bottom="1800" w:left="1440" w:header="851" w:footer="992" w:gutter="0"/>
          <w:pgNumType w:fmt="numberInDash"/>
          <w:cols w:space="720" w:num="1"/>
          <w:docGrid w:linePitch="312" w:charSpace="0"/>
        </w:sectPr>
      </w:pPr>
    </w:p>
    <w:p>
      <w:pPr>
        <w:rPr>
          <w:rFonts w:ascii="Times New Roman" w:hAnsi="Times New Roman" w:cs="Times New Roman"/>
          <w:sz w:val="28"/>
          <w:szCs w:val="28"/>
        </w:rPr>
      </w:pPr>
    </w:p>
    <w:p>
      <w:pPr>
        <w:rPr>
          <w:rFonts w:ascii="Times New Roman" w:hAnsi="Times New Roman" w:cs="Times New Roman"/>
          <w:sz w:val="28"/>
          <w:szCs w:val="28"/>
        </w:rPr>
      </w:pPr>
      <w:bookmarkStart w:id="1" w:name="_GoBack"/>
      <w:bookmarkEnd w:id="1"/>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sectPr>
      <w:footerReference r:id="rId5" w:type="default"/>
      <w:pgSz w:w="11906" w:h="16838"/>
      <w:pgMar w:top="1440" w:right="1800" w:bottom="1440" w:left="180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Luxi Sans">
    <w:altName w:val="Arial"/>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溘冼_GB2312">
    <w:altName w:val="MingLiU-ExtB"/>
    <w:panose1 w:val="00000000000000000000"/>
    <w:charset w:val="88"/>
    <w:family w:val="modern"/>
    <w:pitch w:val="default"/>
    <w:sig w:usb0="00000000" w:usb1="00000000" w:usb2="00000010" w:usb3="00000000" w:csb0="00100000"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642455"/>
      <w:docPartList>
        <w:docPartGallery w:val="Quick Parts"/>
      </w:docPartList>
    </w:sdtPr>
    <w:sdtContent>
      <w:p>
        <w:pPr>
          <w:pStyle w:val="9"/>
          <w:ind w:right="360"/>
          <w:jc w:val="right"/>
        </w:pPr>
        <w:r>
          <w:rPr>
            <w:rFonts w:ascii="Batang" w:eastAsia="Batang"/>
            <w:sz w:val="28"/>
            <w:szCs w:val="28"/>
          </w:rPr>
          <w:fldChar w:fldCharType="begin"/>
        </w:r>
        <w:r>
          <w:rPr>
            <w:rFonts w:ascii="Batang" w:eastAsia="Batang"/>
            <w:sz w:val="28"/>
            <w:szCs w:val="28"/>
          </w:rPr>
          <w:instrText xml:space="preserve"> PAGE   \* MERGEFORMAT </w:instrText>
        </w:r>
        <w:r>
          <w:rPr>
            <w:rFonts w:ascii="Batang" w:eastAsia="Batang"/>
            <w:sz w:val="28"/>
            <w:szCs w:val="28"/>
          </w:rPr>
          <w:fldChar w:fldCharType="separate"/>
        </w:r>
        <w:r>
          <w:rPr>
            <w:rFonts w:ascii="Batang" w:eastAsia="Batang"/>
            <w:sz w:val="28"/>
            <w:szCs w:val="28"/>
            <w:lang w:val="zh-CN"/>
          </w:rPr>
          <w:t>-</w:t>
        </w:r>
        <w:r>
          <w:rPr>
            <w:rFonts w:ascii="Batang" w:eastAsia="Batang"/>
            <w:sz w:val="28"/>
            <w:szCs w:val="28"/>
          </w:rPr>
          <w:t xml:space="preserve"> 13 -</w:t>
        </w:r>
        <w:r>
          <w:rPr>
            <w:rFonts w:ascii="Batang" w:eastAsia="Batang"/>
            <w:sz w:val="28"/>
            <w:szCs w:val="28"/>
          </w:rPr>
          <w:fldChar w:fldCharType="end"/>
        </w:r>
      </w:p>
    </w:sdtContent>
  </w:sdt>
  <w:p>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642454"/>
      <w:docPartList>
        <w:docPartGallery w:val="Quick Parts"/>
      </w:docPartList>
    </w:sdtPr>
    <w:sdtContent>
      <w:p>
        <w:pPr>
          <w:pStyle w:val="9"/>
          <w:ind w:firstLine="360" w:firstLineChars="200"/>
        </w:pPr>
        <w:r>
          <w:rPr>
            <w:rFonts w:ascii="Batang" w:eastAsia="Batang"/>
            <w:sz w:val="28"/>
            <w:szCs w:val="28"/>
          </w:rPr>
          <w:fldChar w:fldCharType="begin"/>
        </w:r>
        <w:r>
          <w:rPr>
            <w:rFonts w:ascii="Batang" w:eastAsia="Batang"/>
            <w:sz w:val="28"/>
            <w:szCs w:val="28"/>
          </w:rPr>
          <w:instrText xml:space="preserve"> PAGE   \* MERGEFORMAT </w:instrText>
        </w:r>
        <w:r>
          <w:rPr>
            <w:rFonts w:ascii="Batang" w:eastAsia="Batang"/>
            <w:sz w:val="28"/>
            <w:szCs w:val="28"/>
          </w:rPr>
          <w:fldChar w:fldCharType="separate"/>
        </w:r>
        <w:r>
          <w:rPr>
            <w:rFonts w:ascii="Batang" w:eastAsia="Batang"/>
            <w:sz w:val="28"/>
            <w:szCs w:val="28"/>
            <w:lang w:val="zh-CN"/>
          </w:rPr>
          <w:t>-</w:t>
        </w:r>
        <w:r>
          <w:rPr>
            <w:rFonts w:ascii="Batang" w:eastAsia="Batang"/>
            <w:sz w:val="28"/>
            <w:szCs w:val="28"/>
          </w:rPr>
          <w:t xml:space="preserve"> 2 -</w:t>
        </w:r>
        <w:r>
          <w:rPr>
            <w:rFonts w:ascii="Batang" w:eastAsia="Batang"/>
            <w:sz w:val="28"/>
            <w:szCs w:val="28"/>
          </w:rPr>
          <w:fldChar w:fldCharType="end"/>
        </w:r>
      </w:p>
    </w:sdtContent>
  </w:sdt>
  <w:p>
    <w:pPr>
      <w:pStyle w:val="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8350343"/>
      <w:docPartObj>
        <w:docPartGallery w:val="AutoText"/>
      </w:docPartObj>
    </w:sdtPr>
    <w:sdtContent>
      <w:p>
        <w:pPr>
          <w:pStyle w:val="9"/>
          <w:jc w:val="right"/>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15 -</w:t>
        </w:r>
        <w:r>
          <w:rPr>
            <w:rFonts w:ascii="Batang" w:hAnsi="Batang" w:eastAsia="Batang"/>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DE842"/>
    <w:multiLevelType w:val="singleLevel"/>
    <w:tmpl w:val="81DDE842"/>
    <w:lvl w:ilvl="0" w:tentative="0">
      <w:start w:val="1"/>
      <w:numFmt w:val="decimal"/>
      <w:lvlText w:val="%1."/>
      <w:lvlJc w:val="left"/>
      <w:pPr>
        <w:tabs>
          <w:tab w:val="left" w:pos="312"/>
        </w:tabs>
      </w:pPr>
    </w:lvl>
  </w:abstractNum>
  <w:abstractNum w:abstractNumId="1">
    <w:nsid w:val="D4220B6E"/>
    <w:multiLevelType w:val="singleLevel"/>
    <w:tmpl w:val="D4220B6E"/>
    <w:lvl w:ilvl="0" w:tentative="0">
      <w:start w:val="1"/>
      <w:numFmt w:val="decimal"/>
      <w:lvlText w:val="%1."/>
      <w:lvlJc w:val="left"/>
      <w:pPr>
        <w:tabs>
          <w:tab w:val="left" w:pos="312"/>
        </w:tabs>
      </w:pPr>
    </w:lvl>
  </w:abstractNum>
  <w:abstractNum w:abstractNumId="2">
    <w:nsid w:val="D99A6AFE"/>
    <w:multiLevelType w:val="singleLevel"/>
    <w:tmpl w:val="D99A6AFE"/>
    <w:lvl w:ilvl="0" w:tentative="0">
      <w:start w:val="1"/>
      <w:numFmt w:val="decimal"/>
      <w:lvlText w:val="%1."/>
      <w:lvlJc w:val="left"/>
      <w:pPr>
        <w:tabs>
          <w:tab w:val="left" w:pos="312"/>
        </w:tabs>
      </w:pPr>
    </w:lvl>
  </w:abstractNum>
  <w:abstractNum w:abstractNumId="3">
    <w:nsid w:val="DC2F4CA3"/>
    <w:multiLevelType w:val="singleLevel"/>
    <w:tmpl w:val="DC2F4CA3"/>
    <w:lvl w:ilvl="0" w:tentative="0">
      <w:start w:val="1"/>
      <w:numFmt w:val="decimal"/>
      <w:lvlText w:val="%1."/>
      <w:lvlJc w:val="left"/>
      <w:pPr>
        <w:tabs>
          <w:tab w:val="left" w:pos="312"/>
        </w:tabs>
      </w:pPr>
    </w:lvl>
  </w:abstractNum>
  <w:abstractNum w:abstractNumId="4">
    <w:nsid w:val="E793B8F1"/>
    <w:multiLevelType w:val="singleLevel"/>
    <w:tmpl w:val="E793B8F1"/>
    <w:lvl w:ilvl="0" w:tentative="0">
      <w:start w:val="1"/>
      <w:numFmt w:val="decimal"/>
      <w:lvlText w:val="%1."/>
      <w:lvlJc w:val="left"/>
      <w:pPr>
        <w:tabs>
          <w:tab w:val="left" w:pos="312"/>
        </w:tabs>
      </w:pPr>
    </w:lvl>
  </w:abstractNum>
  <w:abstractNum w:abstractNumId="5">
    <w:nsid w:val="F4EF19A2"/>
    <w:multiLevelType w:val="singleLevel"/>
    <w:tmpl w:val="F4EF19A2"/>
    <w:lvl w:ilvl="0" w:tentative="0">
      <w:start w:val="1"/>
      <w:numFmt w:val="decimal"/>
      <w:lvlText w:val="%1."/>
      <w:lvlJc w:val="left"/>
      <w:pPr>
        <w:tabs>
          <w:tab w:val="left" w:pos="312"/>
        </w:tabs>
      </w:pPr>
    </w:lvl>
  </w:abstractNum>
  <w:abstractNum w:abstractNumId="6">
    <w:nsid w:val="134DCFDA"/>
    <w:multiLevelType w:val="singleLevel"/>
    <w:tmpl w:val="134DCFDA"/>
    <w:lvl w:ilvl="0" w:tentative="0">
      <w:start w:val="1"/>
      <w:numFmt w:val="decimal"/>
      <w:lvlText w:val="%1."/>
      <w:lvlJc w:val="left"/>
      <w:pPr>
        <w:tabs>
          <w:tab w:val="left" w:pos="312"/>
        </w:tabs>
      </w:pPr>
    </w:lvl>
  </w:abstractNum>
  <w:abstractNum w:abstractNumId="7">
    <w:nsid w:val="66EA17F5"/>
    <w:multiLevelType w:val="singleLevel"/>
    <w:tmpl w:val="66EA17F5"/>
    <w:lvl w:ilvl="0" w:tentative="0">
      <w:start w:val="1"/>
      <w:numFmt w:val="decimal"/>
      <w:lvlText w:val="%1."/>
      <w:lvlJc w:val="left"/>
      <w:pPr>
        <w:tabs>
          <w:tab w:val="left" w:pos="312"/>
        </w:tabs>
      </w:pPr>
    </w:lvl>
  </w:abstractNum>
  <w:abstractNum w:abstractNumId="8">
    <w:nsid w:val="6B5D3860"/>
    <w:multiLevelType w:val="singleLevel"/>
    <w:tmpl w:val="6B5D3860"/>
    <w:lvl w:ilvl="0" w:tentative="0">
      <w:start w:val="1"/>
      <w:numFmt w:val="decimal"/>
      <w:lvlText w:val="%1."/>
      <w:lvlJc w:val="left"/>
      <w:pPr>
        <w:tabs>
          <w:tab w:val="left" w:pos="312"/>
        </w:tabs>
      </w:pPr>
    </w:lvl>
  </w:abstractNum>
  <w:abstractNum w:abstractNumId="9">
    <w:nsid w:val="6DD49A74"/>
    <w:multiLevelType w:val="singleLevel"/>
    <w:tmpl w:val="6DD49A74"/>
    <w:lvl w:ilvl="0" w:tentative="0">
      <w:start w:val="1"/>
      <w:numFmt w:val="decimal"/>
      <w:lvlText w:val="%1."/>
      <w:lvlJc w:val="left"/>
      <w:pPr>
        <w:tabs>
          <w:tab w:val="left" w:pos="312"/>
        </w:tabs>
      </w:pPr>
    </w:lvl>
  </w:abstractNum>
  <w:abstractNum w:abstractNumId="10">
    <w:nsid w:val="70D4A03B"/>
    <w:multiLevelType w:val="singleLevel"/>
    <w:tmpl w:val="70D4A03B"/>
    <w:lvl w:ilvl="0" w:tentative="0">
      <w:start w:val="1"/>
      <w:numFmt w:val="decimal"/>
      <w:lvlText w:val="%1."/>
      <w:lvlJc w:val="left"/>
      <w:pPr>
        <w:tabs>
          <w:tab w:val="left" w:pos="312"/>
        </w:tabs>
      </w:pPr>
    </w:lvl>
  </w:abstractNum>
  <w:abstractNum w:abstractNumId="11">
    <w:nsid w:val="7C743711"/>
    <w:multiLevelType w:val="singleLevel"/>
    <w:tmpl w:val="7C743711"/>
    <w:lvl w:ilvl="0" w:tentative="0">
      <w:start w:val="1"/>
      <w:numFmt w:val="decimal"/>
      <w:lvlText w:val="%1."/>
      <w:lvlJc w:val="left"/>
      <w:pPr>
        <w:tabs>
          <w:tab w:val="left" w:pos="312"/>
        </w:tabs>
      </w:pPr>
    </w:lvl>
  </w:abstractNum>
  <w:num w:numId="1">
    <w:abstractNumId w:val="10"/>
  </w:num>
  <w:num w:numId="2">
    <w:abstractNumId w:val="8"/>
  </w:num>
  <w:num w:numId="3">
    <w:abstractNumId w:val="3"/>
  </w:num>
  <w:num w:numId="4">
    <w:abstractNumId w:val="7"/>
  </w:num>
  <w:num w:numId="5">
    <w:abstractNumId w:val="11"/>
  </w:num>
  <w:num w:numId="6">
    <w:abstractNumId w:val="6"/>
  </w:num>
  <w:num w:numId="7">
    <w:abstractNumId w:val="5"/>
  </w:num>
  <w:num w:numId="8">
    <w:abstractNumId w:val="0"/>
  </w:num>
  <w:num w:numId="9">
    <w:abstractNumId w:val="1"/>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Dc3MjVmN2IxMWY2Y2VmZjA3NDBmY2ZmMGY3MjYifQ=="/>
  </w:docVars>
  <w:rsids>
    <w:rsidRoot w:val="00FE38DB"/>
    <w:rsid w:val="0004213E"/>
    <w:rsid w:val="000B1F55"/>
    <w:rsid w:val="000B5AA8"/>
    <w:rsid w:val="000F653F"/>
    <w:rsid w:val="00184955"/>
    <w:rsid w:val="002160EC"/>
    <w:rsid w:val="0022553E"/>
    <w:rsid w:val="00240096"/>
    <w:rsid w:val="00252855"/>
    <w:rsid w:val="0029698F"/>
    <w:rsid w:val="002B1E3D"/>
    <w:rsid w:val="002F4B27"/>
    <w:rsid w:val="00350EE6"/>
    <w:rsid w:val="003745A0"/>
    <w:rsid w:val="00384B08"/>
    <w:rsid w:val="003A44D5"/>
    <w:rsid w:val="003B1977"/>
    <w:rsid w:val="0054562C"/>
    <w:rsid w:val="005C6E64"/>
    <w:rsid w:val="005D7ABC"/>
    <w:rsid w:val="00600695"/>
    <w:rsid w:val="00642373"/>
    <w:rsid w:val="00667159"/>
    <w:rsid w:val="006F6663"/>
    <w:rsid w:val="00737512"/>
    <w:rsid w:val="007633CD"/>
    <w:rsid w:val="007848B9"/>
    <w:rsid w:val="00787761"/>
    <w:rsid w:val="007A56D2"/>
    <w:rsid w:val="007A7AD7"/>
    <w:rsid w:val="007E2B75"/>
    <w:rsid w:val="00823CCF"/>
    <w:rsid w:val="008D6909"/>
    <w:rsid w:val="009857EF"/>
    <w:rsid w:val="009912B0"/>
    <w:rsid w:val="00A46E3E"/>
    <w:rsid w:val="00A513D3"/>
    <w:rsid w:val="00A668F2"/>
    <w:rsid w:val="00AB3FC2"/>
    <w:rsid w:val="00AB6138"/>
    <w:rsid w:val="00AD6E7E"/>
    <w:rsid w:val="00B6540E"/>
    <w:rsid w:val="00B75319"/>
    <w:rsid w:val="00C25862"/>
    <w:rsid w:val="00C4284A"/>
    <w:rsid w:val="00D94DBC"/>
    <w:rsid w:val="00E333C7"/>
    <w:rsid w:val="00E749DC"/>
    <w:rsid w:val="00EF5D7C"/>
    <w:rsid w:val="00F933CF"/>
    <w:rsid w:val="00FB7D17"/>
    <w:rsid w:val="00FE38DB"/>
    <w:rsid w:val="4C701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line="580" w:lineRule="exact"/>
      <w:outlineLvl w:val="2"/>
    </w:pPr>
    <w:rPr>
      <w:rFonts w:eastAsia="方正楷体_GBK"/>
    </w:rPr>
  </w:style>
  <w:style w:type="character" w:default="1" w:styleId="15">
    <w:name w:val="Default Paragraph Font"/>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200" w:firstLineChars="200"/>
    </w:pPr>
  </w:style>
  <w:style w:type="paragraph" w:styleId="6">
    <w:name w:val="Body Text"/>
    <w:basedOn w:val="1"/>
    <w:next w:val="1"/>
    <w:uiPriority w:val="0"/>
    <w:rPr>
      <w:rFonts w:ascii="仿宋" w:eastAsia="仿宋" w:cs="仿宋"/>
      <w:sz w:val="32"/>
      <w:szCs w:val="32"/>
      <w:lang w:val="zh-CN" w:bidi="zh-CN"/>
    </w:rPr>
  </w:style>
  <w:style w:type="paragraph" w:styleId="7">
    <w:name w:val="Body Text Indent"/>
    <w:basedOn w:val="1"/>
    <w:next w:val="5"/>
    <w:uiPriority w:val="0"/>
    <w:pPr>
      <w:ind w:left="200" w:leftChars="200"/>
    </w:pPr>
  </w:style>
  <w:style w:type="paragraph" w:styleId="8">
    <w:name w:val="Balloon Text"/>
    <w:basedOn w:val="1"/>
    <w:qFormat/>
    <w:uiPriority w:val="0"/>
    <w:rPr>
      <w:sz w:val="18"/>
      <w:szCs w:val="18"/>
    </w:rPr>
  </w:style>
  <w:style w:type="paragraph" w:styleId="9">
    <w:name w:val="footer"/>
    <w:basedOn w:val="1"/>
    <w:link w:val="19"/>
    <w:uiPriority w:val="99"/>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rPr>
  </w:style>
  <w:style w:type="paragraph" w:styleId="11">
    <w:name w:val="Body Text First Indent"/>
    <w:basedOn w:val="6"/>
    <w:next w:val="12"/>
    <w:uiPriority w:val="0"/>
    <w:pPr>
      <w:ind w:firstLine="100" w:firstLineChars="100"/>
    </w:pPr>
  </w:style>
  <w:style w:type="paragraph" w:styleId="12">
    <w:name w:val="Body Text First Indent 2"/>
    <w:basedOn w:val="7"/>
    <w:next w:val="11"/>
    <w:qFormat/>
    <w:uiPriority w:val="0"/>
    <w:pPr>
      <w:ind w:firstLine="20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样式1"/>
    <w:basedOn w:val="1"/>
    <w:uiPriority w:val="0"/>
    <w:rPr>
      <w:b/>
      <w:color w:val="538135"/>
      <w:sz w:val="28"/>
    </w:rPr>
  </w:style>
  <w:style w:type="paragraph" w:customStyle="1" w:styleId="17">
    <w:name w:val="主送单位"/>
    <w:basedOn w:val="1"/>
    <w:uiPriority w:val="0"/>
    <w:pPr>
      <w:widowControl/>
      <w:autoSpaceDE w:val="0"/>
      <w:autoSpaceDN w:val="0"/>
      <w:adjustRightInd w:val="0"/>
      <w:spacing w:line="560" w:lineRule="exact"/>
    </w:pPr>
    <w:rPr>
      <w:rFonts w:ascii="溘冼_GB2312" w:hAnsi="Times New Roman" w:eastAsia="溘冼_GB2312" w:cs="Times New Roman"/>
      <w:bCs w:val="0"/>
      <w:spacing w:val="-4"/>
      <w:kern w:val="0"/>
      <w:sz w:val="32"/>
      <w:szCs w:val="20"/>
    </w:rPr>
  </w:style>
  <w:style w:type="table" w:customStyle="1" w:styleId="18">
    <w:name w:val="网格型1"/>
    <w:basedOn w:val="1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页脚 Char"/>
    <w:basedOn w:val="15"/>
    <w:link w:val="9"/>
    <w:uiPriority w:val="99"/>
    <w:rPr>
      <w:rFonts w:ascii="Calibri" w:hAnsi="Calibri" w:cs="Arial"/>
      <w:bCs/>
      <w:kern w:val="2"/>
      <w:sz w:val="18"/>
      <w:szCs w:val="18"/>
    </w:rPr>
  </w:style>
  <w:style w:type="paragraph" w:customStyle="1" w:styleId="20">
    <w:name w:val="BodyText1I"/>
    <w:basedOn w:val="1"/>
    <w:qFormat/>
    <w:uiPriority w:val="0"/>
    <w:pPr>
      <w:ind w:firstLine="200" w:firstLineChars="200"/>
      <w:textAlignment w:val="baseline"/>
    </w:pPr>
    <w:rPr>
      <w:rFonts w:ascii="等线" w:hAnsi="等线" w:eastAsia="等线" w:cs="Times New Roman"/>
      <w:bCs w:val="0"/>
      <w:kern w:val="0"/>
      <w:sz w:val="24"/>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15</Pages>
  <Words>7286</Words>
  <Characters>7506</Characters>
  <Lines>63</Lines>
  <Paragraphs>17</Paragraphs>
  <TotalTime>240</TotalTime>
  <ScaleCrop>false</ScaleCrop>
  <LinksUpToDate>false</LinksUpToDate>
  <CharactersWithSpaces>7547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2023-02-24T04:44:00Z</dcterms:created>
  <dc:creator>User274</dc:creator>
  <cp:lastModifiedBy>Administrator</cp:lastModifiedBy>
  <cp:lastPrinted>2023-02-24T09:01:00Z</cp:lastPrinted>
  <dcterms:modified xsi:type="dcterms:W3CDTF">2023-02-25T00:32:49Z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1944DFBA83584FE6BBEDBADAC36809B3</vt:lpwstr>
  </property>
</Properties>
</file>