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08" w:rsidRPr="00B6540E" w:rsidRDefault="003B1977" w:rsidP="00384B08">
      <w:pPr>
        <w:spacing w:line="560" w:lineRule="exact"/>
        <w:rPr>
          <w:rFonts w:ascii="Times New Roman" w:eastAsia="黑体" w:hAnsi="Times New Roman" w:cs="Times New Roman"/>
          <w:sz w:val="32"/>
          <w:szCs w:val="32"/>
        </w:rPr>
      </w:pPr>
      <w:bookmarkStart w:id="0" w:name="_Hlk97191672"/>
      <w:r w:rsidRPr="00B6540E">
        <w:rPr>
          <w:rFonts w:ascii="Times New Roman" w:eastAsia="黑体" w:hAnsi="黑体" w:cs="Times New Roman"/>
          <w:sz w:val="32"/>
          <w:szCs w:val="32"/>
        </w:rPr>
        <w:t>附件</w:t>
      </w:r>
    </w:p>
    <w:tbl>
      <w:tblPr>
        <w:tblW w:w="15919" w:type="dxa"/>
        <w:jc w:val="center"/>
        <w:tblLayout w:type="fixed"/>
        <w:tblLook w:val="04A0"/>
      </w:tblPr>
      <w:tblGrid>
        <w:gridCol w:w="697"/>
        <w:gridCol w:w="710"/>
        <w:gridCol w:w="708"/>
        <w:gridCol w:w="851"/>
        <w:gridCol w:w="3402"/>
        <w:gridCol w:w="3260"/>
        <w:gridCol w:w="1134"/>
        <w:gridCol w:w="1701"/>
        <w:gridCol w:w="2268"/>
        <w:gridCol w:w="1188"/>
      </w:tblGrid>
      <w:tr w:rsidR="00384B08" w:rsidRPr="00B6540E" w:rsidTr="00787761">
        <w:trPr>
          <w:trHeight w:val="540"/>
          <w:tblHeader/>
          <w:jc w:val="center"/>
        </w:trPr>
        <w:tc>
          <w:tcPr>
            <w:tcW w:w="15919" w:type="dxa"/>
            <w:gridSpan w:val="10"/>
            <w:tcBorders>
              <w:top w:val="nil"/>
              <w:left w:val="nil"/>
              <w:bottom w:val="single" w:sz="4" w:space="0" w:color="auto"/>
              <w:right w:val="nil"/>
            </w:tcBorders>
            <w:shd w:val="clear" w:color="auto" w:fill="auto"/>
            <w:noWrap/>
            <w:vAlign w:val="center"/>
          </w:tcPr>
          <w:p w:rsidR="00384B08" w:rsidRPr="00B6540E" w:rsidRDefault="00384B08" w:rsidP="000F653F">
            <w:pPr>
              <w:widowControl/>
              <w:jc w:val="center"/>
              <w:rPr>
                <w:rFonts w:ascii="Times New Roman" w:eastAsia="方正小标宋简体" w:hAnsi="Times New Roman" w:cs="Times New Roman"/>
                <w:spacing w:val="-12"/>
                <w:sz w:val="44"/>
                <w:szCs w:val="44"/>
              </w:rPr>
            </w:pPr>
            <w:r w:rsidRPr="00B6540E">
              <w:rPr>
                <w:rFonts w:ascii="Times New Roman" w:eastAsia="方正小标宋简体" w:hAnsi="Times New Roman" w:cs="Times New Roman"/>
                <w:spacing w:val="-12"/>
                <w:sz w:val="44"/>
                <w:szCs w:val="44"/>
              </w:rPr>
              <w:t>连云港市应急管理局安全生产领域</w:t>
            </w:r>
            <w:r w:rsidRPr="00B6540E">
              <w:rPr>
                <w:rFonts w:ascii="Times New Roman" w:eastAsia="方正小标宋简体" w:hAnsi="Times New Roman" w:cs="Times New Roman"/>
                <w:spacing w:val="-12"/>
                <w:sz w:val="44"/>
                <w:szCs w:val="44"/>
              </w:rPr>
              <w:t>“</w:t>
            </w:r>
            <w:r w:rsidRPr="00B6540E">
              <w:rPr>
                <w:rFonts w:ascii="Times New Roman" w:eastAsia="方正小标宋简体" w:hAnsi="Times New Roman" w:cs="Times New Roman"/>
                <w:spacing w:val="-12"/>
                <w:sz w:val="44"/>
                <w:szCs w:val="44"/>
              </w:rPr>
              <w:t>综合查一次</w:t>
            </w:r>
            <w:r w:rsidRPr="00B6540E">
              <w:rPr>
                <w:rFonts w:ascii="Times New Roman" w:eastAsia="方正小标宋简体" w:hAnsi="Times New Roman" w:cs="Times New Roman"/>
                <w:spacing w:val="-12"/>
                <w:sz w:val="44"/>
                <w:szCs w:val="44"/>
              </w:rPr>
              <w:t>”</w:t>
            </w:r>
            <w:r w:rsidRPr="00B6540E">
              <w:rPr>
                <w:rFonts w:ascii="Times New Roman" w:eastAsia="方正小标宋简体" w:hAnsi="Times New Roman" w:cs="Times New Roman"/>
                <w:spacing w:val="-12"/>
                <w:sz w:val="44"/>
                <w:szCs w:val="44"/>
              </w:rPr>
              <w:t>场景清单</w:t>
            </w:r>
          </w:p>
        </w:tc>
      </w:tr>
      <w:tr w:rsidR="00C25862" w:rsidRPr="00B6540E" w:rsidTr="00A46E3E">
        <w:trPr>
          <w:tblHeader/>
          <w:jc w:val="center"/>
        </w:trPr>
        <w:tc>
          <w:tcPr>
            <w:tcW w:w="697" w:type="dxa"/>
            <w:tcBorders>
              <w:top w:val="nil"/>
              <w:left w:val="single" w:sz="4" w:space="0" w:color="auto"/>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序号</w:t>
            </w:r>
          </w:p>
        </w:tc>
        <w:tc>
          <w:tcPr>
            <w:tcW w:w="710"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综合监管场景</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监管部门</w:t>
            </w:r>
          </w:p>
        </w:tc>
        <w:tc>
          <w:tcPr>
            <w:tcW w:w="3402"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主要检查内容</w:t>
            </w:r>
          </w:p>
        </w:tc>
        <w:tc>
          <w:tcPr>
            <w:tcW w:w="3260"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设定依据（法律法规等）</w:t>
            </w:r>
          </w:p>
        </w:tc>
        <w:tc>
          <w:tcPr>
            <w:tcW w:w="1134"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监管事项主项</w:t>
            </w:r>
          </w:p>
        </w:tc>
        <w:tc>
          <w:tcPr>
            <w:tcW w:w="1701"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监管事项子项</w:t>
            </w:r>
          </w:p>
        </w:tc>
        <w:tc>
          <w:tcPr>
            <w:tcW w:w="2268"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被检查企业名称</w:t>
            </w: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0F653F">
            <w:pPr>
              <w:widowControl/>
              <w:jc w:val="center"/>
              <w:rPr>
                <w:rFonts w:ascii="Times New Roman" w:eastAsia="黑体" w:hAnsi="Times New Roman" w:cs="Times New Roman"/>
                <w:bCs w:val="0"/>
                <w:color w:val="000000"/>
                <w:kern w:val="0"/>
                <w:sz w:val="24"/>
                <w:szCs w:val="24"/>
              </w:rPr>
            </w:pPr>
            <w:r w:rsidRPr="00B6540E">
              <w:rPr>
                <w:rFonts w:ascii="Times New Roman" w:eastAsia="黑体" w:hAnsi="黑体" w:cs="Times New Roman"/>
                <w:color w:val="000000"/>
                <w:kern w:val="0"/>
                <w:sz w:val="24"/>
                <w:szCs w:val="24"/>
              </w:rPr>
              <w:t>备注</w:t>
            </w:r>
          </w:p>
        </w:tc>
      </w:tr>
      <w:tr w:rsidR="00C25862" w:rsidRPr="00B6540E" w:rsidTr="00A46E3E">
        <w:trPr>
          <w:trHeight w:val="602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4B08" w:rsidRPr="00B6540E" w:rsidRDefault="00787761"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84B08" w:rsidRPr="00B6540E" w:rsidRDefault="00384B08" w:rsidP="00787761">
            <w:pPr>
              <w:spacing w:line="240" w:lineRule="exact"/>
              <w:rPr>
                <w:rFonts w:ascii="Times New Roman" w:eastAsia="仿宋_GB2312" w:hAnsi="Times New Roman" w:cs="Times New Roman"/>
                <w:szCs w:val="21"/>
              </w:rPr>
            </w:pPr>
            <w:r w:rsidRPr="00B6540E">
              <w:rPr>
                <w:rFonts w:ascii="Times New Roman" w:eastAsia="仿宋_GB2312" w:hAnsi="Times New Roman" w:cs="Times New Roman"/>
                <w:szCs w:val="21"/>
              </w:rPr>
              <w:t>烟花爆竹场景清单</w:t>
            </w:r>
          </w:p>
        </w:tc>
        <w:tc>
          <w:tcPr>
            <w:tcW w:w="708"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tc>
        <w:tc>
          <w:tcPr>
            <w:tcW w:w="85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应急管理局</w:t>
            </w:r>
          </w:p>
        </w:tc>
        <w:tc>
          <w:tcPr>
            <w:tcW w:w="3402"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对烟花爆竹批发企业是否向零售经营者供应非法生产、经营的烟花爆竹，或者供应按照国家标准规定应由专业燃放人员燃放的烟花爆竹的检查；</w:t>
            </w:r>
          </w:p>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对烟花爆竹批发企业在城市建成区内是否设立烟花爆竹储存仓库，或者在批发（展示）场所摆放有药样品的检查；</w:t>
            </w:r>
          </w:p>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对烟花爆竹批发企业是否采购和销售质量不符合国家标准或者行业标准规定的烟花爆竹检查；</w:t>
            </w:r>
          </w:p>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对烟花爆竹批发企业是否在仓库内违反国家标准或者行业标准规定储存烟花爆竹检查；</w:t>
            </w:r>
          </w:p>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对烟花爆竹批发企业是否在烟花爆竹经营许可证载明的仓库以外储存烟花爆竹检查；</w:t>
            </w:r>
          </w:p>
          <w:p w:rsidR="00384B08" w:rsidRPr="00B6540E" w:rsidRDefault="00384B08" w:rsidP="00787761">
            <w:pPr>
              <w:widowControl/>
              <w:numPr>
                <w:ilvl w:val="0"/>
                <w:numId w:val="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对烟花爆竹批发企业是否向未取得零售许可证的单位或者个人销售烟花爆竹检查。</w:t>
            </w:r>
            <w:r w:rsidRPr="00B6540E">
              <w:rPr>
                <w:rFonts w:ascii="Times New Roman" w:eastAsia="仿宋_GB2312" w:hAnsi="Times New Roman" w:cs="Times New Roman"/>
                <w:color w:val="000000"/>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《中华人民共和国安全生产法》；</w:t>
            </w:r>
          </w:p>
          <w:p w:rsidR="00384B08" w:rsidRPr="00B6540E" w:rsidRDefault="00384B08" w:rsidP="00787761">
            <w:pPr>
              <w:widowControl/>
              <w:numPr>
                <w:ilvl w:val="0"/>
                <w:numId w:val="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《烟花爆竹生产经营安全规定》；</w:t>
            </w:r>
          </w:p>
          <w:p w:rsidR="00384B08" w:rsidRPr="00B6540E" w:rsidRDefault="00384B08" w:rsidP="00787761">
            <w:pPr>
              <w:widowControl/>
              <w:numPr>
                <w:ilvl w:val="0"/>
                <w:numId w:val="2"/>
              </w:numPr>
              <w:spacing w:line="240" w:lineRule="exact"/>
              <w:rPr>
                <w:rFonts w:ascii="Times New Roman" w:eastAsia="仿宋_GB2312" w:hAnsi="Times New Roman" w:cs="Times New Roman"/>
                <w:szCs w:val="21"/>
              </w:rPr>
            </w:pPr>
            <w:r w:rsidRPr="00B6540E">
              <w:rPr>
                <w:rFonts w:ascii="Times New Roman" w:eastAsia="仿宋_GB2312" w:hAnsi="Times New Roman" w:cs="Times New Roman"/>
                <w:color w:val="000000"/>
                <w:kern w:val="0"/>
                <w:szCs w:val="21"/>
              </w:rPr>
              <w:t>《烟花爆竹安全管理条例》；</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《烟花爆竹经营许可实施办法》。</w:t>
            </w:r>
          </w:p>
        </w:tc>
        <w:tc>
          <w:tcPr>
            <w:tcW w:w="1134"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3"/>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对烟花爆竹批发的行政检查</w:t>
            </w:r>
            <w:r w:rsidRPr="00B6540E">
              <w:rPr>
                <w:rFonts w:ascii="Times New Roman" w:eastAsia="仿宋_GB2312" w:hAnsi="Times New Roman" w:cs="Times New Roman"/>
                <w:color w:val="000000"/>
                <w:kern w:val="0"/>
                <w:szCs w:val="21"/>
              </w:rPr>
              <w:t>;</w:t>
            </w:r>
          </w:p>
          <w:p w:rsidR="00384B08" w:rsidRPr="00B6540E" w:rsidRDefault="00384B08" w:rsidP="00787761">
            <w:pPr>
              <w:widowControl/>
              <w:numPr>
                <w:ilvl w:val="0"/>
                <w:numId w:val="3"/>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对烟花爆竹批发的行政处罚</w:t>
            </w:r>
            <w:r w:rsidRPr="00B6540E">
              <w:rPr>
                <w:rFonts w:ascii="Times New Roman" w:eastAsia="仿宋_GB2312" w:hAnsi="Times New Roman" w:cs="Times New Roman"/>
                <w:color w:val="000000"/>
                <w:kern w:val="0"/>
                <w:szCs w:val="21"/>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连云港市开心烟花爆竹有限公司；</w:t>
            </w:r>
          </w:p>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连云港市祥源烟花爆竹批发有限公司；</w:t>
            </w:r>
          </w:p>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连云港市兴旺烟花爆竹有限公司；</w:t>
            </w:r>
          </w:p>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东海县裕丰烟花爆竹有限公司；</w:t>
            </w:r>
          </w:p>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灌云县裕隆庆烟花爆竹有限公司</w:t>
            </w:r>
          </w:p>
          <w:p w:rsidR="00384B08" w:rsidRPr="00B6540E" w:rsidRDefault="00384B08" w:rsidP="00787761">
            <w:pPr>
              <w:widowControl/>
              <w:numPr>
                <w:ilvl w:val="0"/>
                <w:numId w:val="4"/>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灌南县供销烟花爆竹批发站</w:t>
            </w:r>
            <w:r w:rsidR="00787761" w:rsidRPr="00B6540E">
              <w:rPr>
                <w:rFonts w:ascii="Times New Roman" w:eastAsia="仿宋_GB2312" w:hAnsi="Times New Roman" w:cs="Times New Roman"/>
                <w:color w:val="000000"/>
                <w:kern w:val="0"/>
                <w:szCs w:val="21"/>
              </w:rPr>
              <w:t>。</w:t>
            </w:r>
          </w:p>
        </w:tc>
        <w:tc>
          <w:tcPr>
            <w:tcW w:w="1188"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787761" w:rsidRPr="00B6540E" w:rsidTr="00A46E3E">
        <w:trPr>
          <w:trHeight w:val="910"/>
          <w:jc w:val="center"/>
        </w:trPr>
        <w:tc>
          <w:tcPr>
            <w:tcW w:w="697" w:type="dxa"/>
            <w:vMerge w:val="restart"/>
            <w:tcBorders>
              <w:top w:val="single" w:sz="4" w:space="0" w:color="auto"/>
              <w:left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1</w:t>
            </w:r>
          </w:p>
        </w:tc>
        <w:tc>
          <w:tcPr>
            <w:tcW w:w="710" w:type="dxa"/>
            <w:vMerge w:val="restart"/>
            <w:tcBorders>
              <w:top w:val="single" w:sz="4" w:space="0" w:color="auto"/>
              <w:left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left"/>
              <w:rPr>
                <w:rFonts w:ascii="Times New Roman" w:eastAsia="仿宋_GB2312" w:hAnsi="Times New Roman" w:cs="Times New Roman"/>
                <w:color w:val="000000"/>
                <w:kern w:val="0"/>
                <w:szCs w:val="21"/>
              </w:rPr>
            </w:pPr>
            <w:r w:rsidRPr="00B6540E">
              <w:rPr>
                <w:rFonts w:ascii="Times New Roman" w:eastAsia="仿宋_GB2312" w:hAnsi="Times New Roman" w:cs="Times New Roman"/>
                <w:szCs w:val="21"/>
              </w:rPr>
              <w:t>烟花爆竹场景清单</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7761" w:rsidRPr="00B6540E" w:rsidRDefault="00787761"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tc>
        <w:tc>
          <w:tcPr>
            <w:tcW w:w="851"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公安局</w:t>
            </w:r>
          </w:p>
        </w:tc>
        <w:tc>
          <w:tcPr>
            <w:tcW w:w="3402"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批发企业库房管理；</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烟花爆竹禁放工作。</w:t>
            </w:r>
          </w:p>
        </w:tc>
        <w:tc>
          <w:tcPr>
            <w:tcW w:w="3260"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烟花爆竹管理条例</w:t>
            </w:r>
          </w:p>
        </w:tc>
        <w:tc>
          <w:tcPr>
            <w:tcW w:w="1134"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对烟花爆竹批发的行政检查</w:t>
            </w:r>
          </w:p>
        </w:tc>
        <w:tc>
          <w:tcPr>
            <w:tcW w:w="2268" w:type="dxa"/>
            <w:vMerge w:val="restart"/>
            <w:tcBorders>
              <w:top w:val="single" w:sz="4" w:space="0" w:color="auto"/>
              <w:left w:val="nil"/>
              <w:right w:val="single" w:sz="4" w:space="0" w:color="auto"/>
            </w:tcBorders>
            <w:shd w:val="clear" w:color="auto" w:fill="auto"/>
            <w:vAlign w:val="center"/>
          </w:tcPr>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连云港市开心烟花爆竹有限公司；</w:t>
            </w:r>
          </w:p>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连云港市祥源烟花爆竹批发有限公司；</w:t>
            </w:r>
          </w:p>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连云港市兴旺烟花爆竹有限公司；</w:t>
            </w:r>
          </w:p>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东海县裕丰烟花爆竹有限公司；</w:t>
            </w:r>
          </w:p>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灌云县裕隆庆烟花爆竹有限公司</w:t>
            </w:r>
          </w:p>
          <w:p w:rsidR="00787761" w:rsidRPr="00B6540E" w:rsidRDefault="00787761" w:rsidP="00787761">
            <w:pPr>
              <w:widowControl/>
              <w:numPr>
                <w:ilvl w:val="0"/>
                <w:numId w:val="1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灌南县供销烟花爆竹批发站。</w:t>
            </w:r>
          </w:p>
        </w:tc>
        <w:tc>
          <w:tcPr>
            <w:tcW w:w="1188" w:type="dxa"/>
            <w:tcBorders>
              <w:top w:val="single" w:sz="4" w:space="0" w:color="auto"/>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787761" w:rsidRPr="00B6540E" w:rsidTr="00E749DC">
        <w:trPr>
          <w:trHeight w:val="5529"/>
          <w:jc w:val="center"/>
        </w:trPr>
        <w:tc>
          <w:tcPr>
            <w:tcW w:w="697" w:type="dxa"/>
            <w:vMerge/>
            <w:tcBorders>
              <w:left w:val="single" w:sz="4" w:space="0" w:color="auto"/>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left w:val="single" w:sz="4" w:space="0" w:color="auto"/>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tcPr>
          <w:p w:rsidR="00787761" w:rsidRPr="00B6540E" w:rsidRDefault="00787761"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交通局</w:t>
            </w:r>
          </w:p>
        </w:tc>
        <w:tc>
          <w:tcPr>
            <w:tcW w:w="3402"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普通货运车辆运输曝炸品情况。</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运输爆炸品从业人员资格证及车辆道路动输证和所属企业经营资质情况。</w:t>
            </w:r>
          </w:p>
        </w:tc>
        <w:tc>
          <w:tcPr>
            <w:tcW w:w="3260"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《危险货物道路运输企业安全管理规范》；</w:t>
            </w:r>
          </w:p>
          <w:p w:rsidR="007A56D2"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《中华人民共和国安全生产法</w:t>
            </w:r>
            <w:r w:rsidRPr="00B6540E">
              <w:rPr>
                <w:rFonts w:ascii="Times New Roman" w:eastAsia="仿宋_GB2312" w:hAnsi="Times New Roman" w:cs="Times New Roman"/>
                <w:color w:val="000000"/>
                <w:kern w:val="0"/>
                <w:szCs w:val="21"/>
              </w:rPr>
              <w:t xml:space="preserve"> </w:t>
            </w:r>
            <w:r w:rsidRPr="00B6540E">
              <w:rPr>
                <w:rFonts w:ascii="Times New Roman" w:eastAsia="仿宋_GB2312" w:hAnsi="Times New Roman" w:cs="Times New Roman"/>
                <w:color w:val="000000"/>
                <w:kern w:val="0"/>
                <w:szCs w:val="21"/>
              </w:rPr>
              <w:t>》；</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《中华人民共和国道路运输条例》；</w:t>
            </w:r>
          </w:p>
          <w:p w:rsidR="007A56D2"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《道路危险货物运输管理规定》；</w:t>
            </w:r>
          </w:p>
          <w:p w:rsidR="007A56D2"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《道路运输从业人员管理规定》；</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《危险货物道路运输安全管理办法》；</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《江苏省道路运输条例</w:t>
            </w:r>
            <w:r w:rsidRPr="00B6540E">
              <w:rPr>
                <w:rFonts w:ascii="Times New Roman" w:eastAsia="仿宋_GB2312" w:hAnsi="Times New Roman" w:cs="Times New Roman"/>
                <w:color w:val="000000"/>
                <w:kern w:val="0"/>
                <w:szCs w:val="21"/>
              </w:rPr>
              <w:t xml:space="preserve"> </w:t>
            </w:r>
            <w:r w:rsidRPr="00B6540E">
              <w:rPr>
                <w:rFonts w:ascii="Times New Roman" w:eastAsia="仿宋_GB2312" w:hAnsi="Times New Roman" w:cs="Times New Roman"/>
                <w:color w:val="000000"/>
                <w:kern w:val="0"/>
                <w:szCs w:val="21"/>
              </w:rPr>
              <w:t>》等。</w:t>
            </w:r>
          </w:p>
        </w:tc>
        <w:tc>
          <w:tcPr>
            <w:tcW w:w="1134"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对运输爆炸品车辆进行监管</w:t>
            </w:r>
          </w:p>
        </w:tc>
        <w:tc>
          <w:tcPr>
            <w:tcW w:w="1701"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普通货运车辆运输曝炸品违规行为。</w:t>
            </w:r>
          </w:p>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运输爆炸品从业人员资格证及车辆道路动输证和所属企业经营资质不符有关规定的违法行为。</w:t>
            </w:r>
          </w:p>
        </w:tc>
        <w:tc>
          <w:tcPr>
            <w:tcW w:w="2268" w:type="dxa"/>
            <w:vMerge/>
            <w:tcBorders>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787761" w:rsidRPr="00B6540E" w:rsidRDefault="00787761"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22553E" w:rsidRPr="00B6540E" w:rsidTr="00E749DC">
        <w:trPr>
          <w:trHeight w:val="1066"/>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rPr>
                <w:rFonts w:ascii="Times New Roman" w:eastAsia="仿宋_GB2312" w:hAnsi="Times New Roman" w:cs="Times New Roman"/>
                <w:color w:val="000000"/>
                <w:kern w:val="0"/>
                <w:szCs w:val="21"/>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危化企业场景清单</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危化企业场景清单</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危化企业场景清单</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危化企业场景清单</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rPr>
                <w:rFonts w:ascii="Times New Roman" w:eastAsia="仿宋_GB2312" w:hAnsi="Times New Roman" w:cs="Times New Roman"/>
                <w:color w:val="000000"/>
                <w:kern w:val="0"/>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22553E" w:rsidRPr="00B6540E" w:rsidRDefault="0022553E" w:rsidP="007A56D2">
            <w:pPr>
              <w:widowControl/>
              <w:spacing w:line="240" w:lineRule="exact"/>
              <w:jc w:val="center"/>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应急管理局</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应急管理局</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应急管理局</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1.</w:t>
            </w:r>
            <w:r w:rsidRPr="00B6540E">
              <w:rPr>
                <w:rFonts w:ascii="Times New Roman" w:eastAsia="仿宋_GB2312" w:hAnsi="Times New Roman" w:cs="Times New Roman"/>
                <w:color w:val="000000"/>
                <w:kern w:val="0"/>
                <w:szCs w:val="21"/>
              </w:rPr>
              <w:t>对生产、储存危险化学品的单位是否对其铺设的危险化学品管道设置明显的标志，或者是否对危险化学品管道定期检查、检测的检查；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对进行可能危及危险化学品管道安全的施工作业，施工单位是否履行规定的安全管理职责；管道所属单位是否指派专门人员到现场进行管道安全保护指导的检查；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对危险化学品生产企业是否提供化学品安全技术说明书，或者是否在包装上粘贴、拴挂化学品安全标签的检查；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对危险化学品生产企业的化学品安全技术说明书、化学品安全标签使用是否符合规定要求的检查；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对危险化学品生产企业发现其生产的危险化学品有新的危险特性不立即公告，或者不及时修订其化学品安全技术说明书和化学品安全标签的检查；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对生产、储存危险化学品的单位是否在作业场所设置通信、报警装置的检查；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对生产、储存危险化学品单位专用仓库是否设专人负责管理，或者对储存的剧毒化学品以及储存数量</w:t>
            </w:r>
            <w:r w:rsidRPr="00B6540E">
              <w:rPr>
                <w:rFonts w:ascii="Times New Roman" w:eastAsia="仿宋_GB2312" w:hAnsi="Times New Roman" w:cs="Times New Roman"/>
                <w:color w:val="000000"/>
                <w:kern w:val="0"/>
                <w:szCs w:val="21"/>
              </w:rPr>
              <w:lastRenderedPageBreak/>
              <w:t>构成重大危险源的其他危险化学品是否实行双人收发、双人保管制度的检查；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对危险化学品生产企业、进口企业是否按照规定办理危险化学品登记，或者发现有新的危险特性的不办理危险化学品登记内容变更手续的检查；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9.</w:t>
            </w:r>
            <w:r w:rsidRPr="00B6540E">
              <w:rPr>
                <w:rFonts w:ascii="Times New Roman" w:eastAsia="仿宋_GB2312" w:hAnsi="Times New Roman" w:cs="Times New Roman"/>
                <w:color w:val="000000"/>
                <w:kern w:val="0"/>
                <w:szCs w:val="21"/>
              </w:rPr>
              <w:t>对生产、储存、使用危险化学品的单位对重复使用的危险化学品包装物、容器，在重复使用前不进行检查的检查；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10.</w:t>
            </w:r>
            <w:r w:rsidRPr="00B6540E">
              <w:rPr>
                <w:rFonts w:ascii="Times New Roman" w:eastAsia="仿宋_GB2312" w:hAnsi="Times New Roman" w:cs="Times New Roman"/>
                <w:color w:val="000000"/>
                <w:kern w:val="0"/>
                <w:szCs w:val="21"/>
              </w:rPr>
              <w:t>对生产、储存、使用危险化学品的单位是否根据其生产、储存的危险化学品的种类和危险特性，在作业场所设置相关安全设施、设备，或者是否按照国家标准、行业标准或者国家有关规定对安全设施、设备进行经常性维护、保养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11.</w:t>
            </w:r>
            <w:r w:rsidRPr="00B6540E">
              <w:rPr>
                <w:rFonts w:ascii="Times New Roman" w:eastAsia="仿宋_GB2312" w:hAnsi="Times New Roman" w:cs="Times New Roman"/>
                <w:color w:val="000000"/>
                <w:kern w:val="0"/>
                <w:szCs w:val="21"/>
              </w:rPr>
              <w:t>对生产、储存、使用危险化学品的单位是否依照规定对其安全生产条件定期进行安全评价的检查；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12.</w:t>
            </w:r>
            <w:r w:rsidRPr="00B6540E">
              <w:rPr>
                <w:rFonts w:ascii="Times New Roman" w:eastAsia="仿宋_GB2312" w:hAnsi="Times New Roman" w:cs="Times New Roman"/>
                <w:color w:val="000000"/>
                <w:kern w:val="0"/>
                <w:szCs w:val="21"/>
              </w:rPr>
              <w:t>对生产、储存、使用危险化学品的单位危险化学品的储存方式、方法或者储存数量是否符合国家标准或者国家有关规定的检查；</w:t>
            </w:r>
          </w:p>
          <w:p w:rsidR="0022553E" w:rsidRPr="00B6540E" w:rsidRDefault="0022553E" w:rsidP="000F653F">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13.</w:t>
            </w:r>
            <w:r w:rsidRPr="00B6540E">
              <w:rPr>
                <w:rFonts w:ascii="Times New Roman" w:eastAsia="仿宋_GB2312" w:hAnsi="Times New Roman" w:cs="Times New Roman"/>
                <w:color w:val="000000"/>
                <w:kern w:val="0"/>
                <w:szCs w:val="21"/>
              </w:rPr>
              <w:t>对生产、储存危险化学品的企业</w:t>
            </w:r>
            <w:r w:rsidRPr="00B6540E">
              <w:rPr>
                <w:rFonts w:ascii="Times New Roman" w:eastAsia="仿宋_GB2312" w:hAnsi="Times New Roman" w:cs="Times New Roman"/>
                <w:color w:val="000000"/>
                <w:kern w:val="0"/>
                <w:szCs w:val="21"/>
              </w:rPr>
              <w:lastRenderedPageBreak/>
              <w:t>或者使用危险化学品从事生产的企业是否按照规定将安全评价报告以及整改方案的落实情况报有关部门备案的检查。</w:t>
            </w:r>
          </w:p>
        </w:tc>
        <w:tc>
          <w:tcPr>
            <w:tcW w:w="3260"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numPr>
                <w:ilvl w:val="0"/>
                <w:numId w:val="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《中华人民共和国安全生产法》；</w:t>
            </w:r>
          </w:p>
          <w:p w:rsidR="0022553E" w:rsidRPr="00B6540E" w:rsidRDefault="0022553E" w:rsidP="00787761">
            <w:pPr>
              <w:widowControl/>
              <w:numPr>
                <w:ilvl w:val="0"/>
                <w:numId w:val="6"/>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《农药管理条例》；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《农药生产许可制度》；</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《危险化学品安全管理条例》；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《安全生产许可证条例》；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《危险化学品生产企业安全生产许可证实施办法》。</w:t>
            </w:r>
          </w:p>
        </w:tc>
        <w:tc>
          <w:tcPr>
            <w:tcW w:w="1134"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对危化企业的监管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numPr>
                <w:ilvl w:val="0"/>
                <w:numId w:val="7"/>
              </w:numPr>
              <w:spacing w:line="240" w:lineRule="exact"/>
              <w:jc w:val="lef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对危化企业批发的行政检查</w:t>
            </w:r>
            <w:r w:rsidRPr="00B6540E">
              <w:rPr>
                <w:rFonts w:ascii="Times New Roman" w:eastAsia="仿宋_GB2312" w:hAnsi="Times New Roman" w:cs="Times New Roman"/>
                <w:color w:val="000000"/>
                <w:kern w:val="0"/>
                <w:szCs w:val="21"/>
              </w:rPr>
              <w:t>;</w:t>
            </w:r>
          </w:p>
          <w:p w:rsidR="0022553E" w:rsidRPr="00B6540E" w:rsidRDefault="0022553E" w:rsidP="00787761">
            <w:pPr>
              <w:widowControl/>
              <w:numPr>
                <w:ilvl w:val="0"/>
                <w:numId w:val="7"/>
              </w:numPr>
              <w:spacing w:line="240" w:lineRule="exact"/>
              <w:jc w:val="lef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对危化企业批发的行政处罚</w:t>
            </w:r>
            <w:r w:rsidRPr="00B6540E">
              <w:rPr>
                <w:rFonts w:ascii="Times New Roman" w:eastAsia="仿宋_GB2312" w:hAnsi="Times New Roman" w:cs="Times New Roman"/>
                <w:color w:val="000000"/>
                <w:kern w:val="0"/>
                <w:szCs w:val="21"/>
              </w:rPr>
              <w:t>;</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东海县桃源气体供应站；</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灌云金宇气体有限公司；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万联能源集团有限公司（刘跳油库）；</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江苏润海油品销售有限公司；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江苏金茂源生物化工有限责任公司；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连云港杰瑞药业有限公司；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江苏远征化工有限公司；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江苏地浦科技股份有限公司；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江苏华尔化工有限公司；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连云港欧亚气体有限公司；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科莱恩丰益脂肪胺（连云港）有限公司；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江苏三吉利化工股份有限公司</w:t>
            </w:r>
            <w:r w:rsidRPr="00B6540E">
              <w:rPr>
                <w:rFonts w:ascii="Times New Roman" w:eastAsia="仿宋_GB2312" w:hAnsi="Times New Roman" w:cs="Times New Roman"/>
                <w:color w:val="000000"/>
                <w:kern w:val="0"/>
                <w:szCs w:val="21"/>
              </w:rPr>
              <w:t>;</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丰益高分子材料（连云港）有限公司；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丰益油脂科技（连</w:t>
            </w:r>
            <w:r w:rsidRPr="00B6540E">
              <w:rPr>
                <w:rFonts w:ascii="Times New Roman" w:eastAsia="仿宋_GB2312" w:hAnsi="Times New Roman" w:cs="Times New Roman"/>
                <w:color w:val="000000"/>
                <w:kern w:val="0"/>
                <w:szCs w:val="21"/>
              </w:rPr>
              <w:lastRenderedPageBreak/>
              <w:t>云港）有限公司；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连云港市工投集团利海化工有限公司；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科邦石化（连云港）有限公司；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连云港本一新材料科技有限公司；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江苏德源药业股份有限公司；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江苏宇田医药有限公司；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江苏豪森药业集团有限公司；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连云港杜钟新奥神氨纶有限公司；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江苏诺泰澳赛诺生物制药股份有限公司；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江苏暨明医药科技有限公司；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连云港润众制药有限公司；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锦太洋</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连云港</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新材料有限公司；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连云港石化有限公司；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江苏思派新能源科技有限公司；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连云港瑞龙气体有限公司；</w:t>
            </w:r>
          </w:p>
          <w:p w:rsidR="0022553E" w:rsidRPr="00B6540E" w:rsidRDefault="0022553E" w:rsidP="00787761">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东海县环宇气体供应站；</w:t>
            </w:r>
          </w:p>
          <w:p w:rsidR="0022553E" w:rsidRPr="00B6540E" w:rsidRDefault="0022553E" w:rsidP="00A46E3E">
            <w:pPr>
              <w:widowControl/>
              <w:numPr>
                <w:ilvl w:val="0"/>
                <w:numId w:val="8"/>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连云港荣泰化工仓储有限公司。</w:t>
            </w:r>
          </w:p>
        </w:tc>
        <w:tc>
          <w:tcPr>
            <w:tcW w:w="1188"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 xml:space="preserve">　</w:t>
            </w:r>
          </w:p>
        </w:tc>
      </w:tr>
      <w:tr w:rsidR="0022553E" w:rsidRPr="00B6540E" w:rsidTr="00E749DC">
        <w:trPr>
          <w:trHeight w:val="1633"/>
          <w:jc w:val="center"/>
        </w:trPr>
        <w:tc>
          <w:tcPr>
            <w:tcW w:w="6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B5AA8">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工信局</w:t>
            </w:r>
          </w:p>
        </w:tc>
        <w:tc>
          <w:tcPr>
            <w:tcW w:w="3402"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监控化学品生产、使用、分析等原始操作记录是否完整；</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宣布数据与年度盘点情况是否一致；</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是否制定并更新《接受国际视察预案》和《视察前情况介绍》</w:t>
            </w:r>
          </w:p>
        </w:tc>
        <w:tc>
          <w:tcPr>
            <w:tcW w:w="3260"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《中华人民共和国监控化学品管理条例》及实施细则</w:t>
            </w:r>
          </w:p>
        </w:tc>
        <w:tc>
          <w:tcPr>
            <w:tcW w:w="1134"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对监控化学品进行监管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．第二类监控化学品生产、使用、经营企业管理；</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第三类监控化学品生产企业管理；</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第四类监控化学品生产企业管理。</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22553E" w:rsidRPr="00B6540E" w:rsidTr="00E749DC">
        <w:trPr>
          <w:trHeight w:val="240"/>
          <w:jc w:val="center"/>
        </w:trPr>
        <w:tc>
          <w:tcPr>
            <w:tcW w:w="6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生态环境局</w:t>
            </w: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0F653F">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生态环境局</w:t>
            </w:r>
          </w:p>
          <w:p w:rsidR="0022553E" w:rsidRPr="00B6540E" w:rsidRDefault="0022553E" w:rsidP="000F653F">
            <w:pPr>
              <w:widowControl/>
              <w:spacing w:line="240" w:lineRule="exact"/>
              <w:rPr>
                <w:rFonts w:ascii="Times New Roman" w:eastAsia="仿宋_GB2312" w:hAnsi="Times New Roman" w:cs="Times New Roman"/>
                <w:color w:val="000000"/>
                <w:kern w:val="0"/>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1.</w:t>
            </w:r>
            <w:r w:rsidRPr="00B6540E">
              <w:rPr>
                <w:rFonts w:ascii="Times New Roman" w:eastAsia="仿宋_GB2312" w:hAnsi="Times New Roman" w:cs="Times New Roman"/>
                <w:color w:val="000000"/>
                <w:kern w:val="0"/>
                <w:szCs w:val="21"/>
              </w:rPr>
              <w:t>对企业开展环境安全隐患排查治理情况的行政检查；对企业环境应急预案编制修订备案及风险评估情况的行政检查；</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对企业建设项目环境影响评价制度及</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制度执行情况检查；</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对企业排污许可制度执行情况检查；</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对企业大气、水、固危废、噪声污染防治情况检查。</w:t>
            </w:r>
          </w:p>
        </w:tc>
        <w:tc>
          <w:tcPr>
            <w:tcW w:w="3260"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《中华人民共和国环境影响评价法》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《建设项目环境保护管理条例》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《中华人民共和国大气污染防治法》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《中华人民共和国水污染防治法》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《中华人民共和国土壤污染防治法》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《中华人民共和国固体废物污染环境防治法》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《中华人民共和国环境噪声污染防治法》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《排污许可管理条例》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9.</w:t>
            </w:r>
            <w:r w:rsidRPr="00B6540E">
              <w:rPr>
                <w:rFonts w:ascii="Times New Roman" w:eastAsia="仿宋_GB2312" w:hAnsi="Times New Roman" w:cs="Times New Roman"/>
                <w:color w:val="000000"/>
                <w:kern w:val="0"/>
                <w:szCs w:val="21"/>
              </w:rPr>
              <w:t>《突发环境事件应急管理办法》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10.</w:t>
            </w:r>
            <w:r w:rsidRPr="00B6540E">
              <w:rPr>
                <w:rFonts w:ascii="Times New Roman" w:eastAsia="仿宋_GB2312" w:hAnsi="Times New Roman" w:cs="Times New Roman"/>
                <w:color w:val="000000"/>
                <w:kern w:val="0"/>
                <w:szCs w:val="21"/>
              </w:rPr>
              <w:t>《畜禽规模养殖污染防治条例》</w:t>
            </w:r>
          </w:p>
        </w:tc>
        <w:tc>
          <w:tcPr>
            <w:tcW w:w="1134"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对企业环境保护管理制度落实情况的监管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1.</w:t>
            </w:r>
            <w:r w:rsidRPr="00B6540E">
              <w:rPr>
                <w:rFonts w:ascii="Times New Roman" w:eastAsia="仿宋_GB2312" w:hAnsi="Times New Roman" w:cs="Times New Roman"/>
                <w:color w:val="000000"/>
                <w:spacing w:val="-8"/>
                <w:kern w:val="0"/>
                <w:szCs w:val="21"/>
              </w:rPr>
              <w:t>对企业开展环境安全隐患排查治理情况的行政检查；对企业环境应急预案编制修订备案及风险评估情况的行政检查；</w:t>
            </w:r>
          </w:p>
          <w:p w:rsidR="0022553E"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2.</w:t>
            </w:r>
            <w:r w:rsidRPr="00B6540E">
              <w:rPr>
                <w:rFonts w:ascii="Times New Roman" w:eastAsia="仿宋_GB2312" w:hAnsi="Times New Roman" w:cs="Times New Roman"/>
                <w:color w:val="000000"/>
                <w:spacing w:val="-8"/>
                <w:kern w:val="0"/>
                <w:szCs w:val="21"/>
              </w:rPr>
              <w:t>对企业建设项目环境影响评价制度及</w:t>
            </w:r>
            <w:r w:rsidRPr="00B6540E">
              <w:rPr>
                <w:rFonts w:ascii="Times New Roman" w:eastAsia="仿宋_GB2312" w:hAnsi="Times New Roman" w:cs="Times New Roman"/>
                <w:color w:val="000000"/>
                <w:spacing w:val="-8"/>
                <w:kern w:val="0"/>
                <w:szCs w:val="21"/>
              </w:rPr>
              <w:t>“</w:t>
            </w:r>
            <w:r w:rsidRPr="00B6540E">
              <w:rPr>
                <w:rFonts w:ascii="Times New Roman" w:eastAsia="仿宋_GB2312" w:hAnsi="Times New Roman" w:cs="Times New Roman"/>
                <w:color w:val="000000"/>
                <w:spacing w:val="-8"/>
                <w:kern w:val="0"/>
                <w:szCs w:val="21"/>
              </w:rPr>
              <w:t>三同时</w:t>
            </w:r>
            <w:r w:rsidRPr="00B6540E">
              <w:rPr>
                <w:rFonts w:ascii="Times New Roman" w:eastAsia="仿宋_GB2312" w:hAnsi="Times New Roman" w:cs="Times New Roman"/>
                <w:color w:val="000000"/>
                <w:spacing w:val="-8"/>
                <w:kern w:val="0"/>
                <w:szCs w:val="21"/>
              </w:rPr>
              <w:t>”</w:t>
            </w:r>
            <w:r w:rsidRPr="00B6540E">
              <w:rPr>
                <w:rFonts w:ascii="Times New Roman" w:eastAsia="仿宋_GB2312" w:hAnsi="Times New Roman" w:cs="Times New Roman"/>
                <w:color w:val="000000"/>
                <w:spacing w:val="-8"/>
                <w:kern w:val="0"/>
                <w:szCs w:val="21"/>
              </w:rPr>
              <w:t>制度执行情况检查；</w:t>
            </w:r>
          </w:p>
          <w:p w:rsidR="0022553E"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3.</w:t>
            </w:r>
            <w:r w:rsidRPr="00B6540E">
              <w:rPr>
                <w:rFonts w:ascii="Times New Roman" w:eastAsia="仿宋_GB2312" w:hAnsi="Times New Roman" w:cs="Times New Roman"/>
                <w:color w:val="000000"/>
                <w:spacing w:val="-8"/>
                <w:kern w:val="0"/>
                <w:szCs w:val="21"/>
              </w:rPr>
              <w:t>对企业排污许可制度执行情况</w:t>
            </w:r>
            <w:r w:rsidRPr="00B6540E">
              <w:rPr>
                <w:rFonts w:ascii="Times New Roman" w:eastAsia="仿宋_GB2312" w:hAnsi="Times New Roman" w:cs="Times New Roman"/>
                <w:color w:val="000000"/>
                <w:spacing w:val="-8"/>
                <w:kern w:val="0"/>
                <w:szCs w:val="21"/>
              </w:rPr>
              <w:lastRenderedPageBreak/>
              <w:t>检查；</w:t>
            </w:r>
          </w:p>
          <w:p w:rsidR="0022553E" w:rsidRPr="00B6540E" w:rsidRDefault="0022553E" w:rsidP="0022553E">
            <w:pPr>
              <w:widowControl/>
              <w:spacing w:line="22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spacing w:val="-8"/>
                <w:kern w:val="0"/>
                <w:szCs w:val="21"/>
              </w:rPr>
              <w:t>4.</w:t>
            </w:r>
            <w:r w:rsidRPr="00B6540E">
              <w:rPr>
                <w:rFonts w:ascii="Times New Roman" w:eastAsia="仿宋_GB2312" w:hAnsi="Times New Roman" w:cs="Times New Roman"/>
                <w:color w:val="000000"/>
                <w:spacing w:val="-8"/>
                <w:kern w:val="0"/>
                <w:szCs w:val="21"/>
              </w:rPr>
              <w:t>对企业大气、水、固危废、噪声污染防治情况检查。</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22553E" w:rsidRPr="00B6540E" w:rsidTr="00E749DC">
        <w:trPr>
          <w:trHeight w:val="240"/>
          <w:jc w:val="center"/>
        </w:trPr>
        <w:tc>
          <w:tcPr>
            <w:tcW w:w="6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2553E" w:rsidRPr="00B6540E" w:rsidRDefault="0022553E"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市场局</w:t>
            </w:r>
          </w:p>
        </w:tc>
        <w:tc>
          <w:tcPr>
            <w:tcW w:w="3402"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所抽查设备办理使用登记</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所抽查设备在检验有效期内</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按要求建立设备档案且档案齐全</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所抽查设备按要求进行经常性维护保养或者定期自行检查并有记录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有设备故障</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异常情况处理记录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有事故隐患排查和整治记录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安全管理人员和作业人员证件在有效期内，项目符合要求并办理聘用手续</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有特种设备作业人员培训考核记录</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9.</w:t>
            </w:r>
            <w:r w:rsidRPr="00B6540E">
              <w:rPr>
                <w:rFonts w:ascii="Times New Roman" w:eastAsia="仿宋_GB2312" w:hAnsi="Times New Roman" w:cs="Times New Roman"/>
                <w:color w:val="000000"/>
                <w:kern w:val="0"/>
                <w:szCs w:val="21"/>
              </w:rPr>
              <w:t>按规定设置安全管理机构或配备专兼职安全管理人员，并书面任命安全责任人</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10.</w:t>
            </w:r>
            <w:r w:rsidRPr="00B6540E">
              <w:rPr>
                <w:rFonts w:ascii="Times New Roman" w:eastAsia="仿宋_GB2312" w:hAnsi="Times New Roman" w:cs="Times New Roman"/>
                <w:color w:val="000000"/>
                <w:kern w:val="0"/>
                <w:szCs w:val="21"/>
              </w:rPr>
              <w:t>建立并实施安全管理制度和操作规程</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11.</w:t>
            </w:r>
            <w:r w:rsidRPr="00B6540E">
              <w:rPr>
                <w:rFonts w:ascii="Times New Roman" w:eastAsia="仿宋_GB2312" w:hAnsi="Times New Roman" w:cs="Times New Roman"/>
                <w:color w:val="000000"/>
                <w:kern w:val="0"/>
                <w:szCs w:val="21"/>
              </w:rPr>
              <w:t>制定事故应急（专项）预案并有演练记录</w:t>
            </w:r>
          </w:p>
        </w:tc>
        <w:tc>
          <w:tcPr>
            <w:tcW w:w="3260"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《中华人民共和国特种设备安全法》第五十七条</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《特种设备安全监察条例》第五十条</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对特种设备使用的监管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对特种设备使用单位的行政检查</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对特种设备使用单位的行政处罚</w:t>
            </w:r>
          </w:p>
          <w:p w:rsidR="0022553E" w:rsidRPr="00B6540E" w:rsidRDefault="0022553E" w:rsidP="00787761">
            <w:pPr>
              <w:widowControl/>
              <w:spacing w:line="240" w:lineRule="exact"/>
              <w:rPr>
                <w:rFonts w:ascii="Times New Roman" w:eastAsia="仿宋_GB2312" w:hAnsi="Times New Roman" w:cs="Times New Roman"/>
                <w:color w:val="000000"/>
                <w:kern w:val="0"/>
                <w:szCs w:val="21"/>
              </w:rPr>
            </w:pP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22553E" w:rsidRPr="00B6540E" w:rsidRDefault="0022553E"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spacing w:val="-8"/>
                <w:kern w:val="0"/>
                <w:szCs w:val="21"/>
              </w:rPr>
              <w:t>按照事权划分，特种设备使用单位的监督检查由县区局负责。根据往常惯例及制定程序，市级市场监管系统的年度监督检查计划一般于每年省局年度监督检查计划出台后，二、三月份制定，最终监督检查单位名单以年度监督检查计划为准</w:t>
            </w:r>
            <w:r w:rsidRPr="00B6540E">
              <w:rPr>
                <w:rFonts w:ascii="Times New Roman" w:eastAsia="仿宋_GB2312" w:hAnsi="Times New Roman" w:cs="Times New Roman"/>
                <w:color w:val="000000"/>
                <w:kern w:val="0"/>
                <w:szCs w:val="21"/>
              </w:rPr>
              <w:t>。</w:t>
            </w:r>
          </w:p>
        </w:tc>
      </w:tr>
      <w:tr w:rsidR="00C25862" w:rsidRPr="00B6540E" w:rsidTr="00A46E3E">
        <w:trPr>
          <w:trHeight w:val="240"/>
          <w:jc w:val="center"/>
        </w:trPr>
        <w:tc>
          <w:tcPr>
            <w:tcW w:w="697" w:type="dxa"/>
            <w:tcBorders>
              <w:top w:val="single" w:sz="4" w:space="0" w:color="auto"/>
              <w:left w:val="single" w:sz="4" w:space="0" w:color="auto"/>
              <w:bottom w:val="single" w:sz="4" w:space="0" w:color="000000"/>
              <w:right w:val="single" w:sz="4" w:space="0" w:color="auto"/>
            </w:tcBorders>
            <w:shd w:val="clear" w:color="auto" w:fill="auto"/>
            <w:vAlign w:val="center"/>
          </w:tcPr>
          <w:p w:rsidR="00384B08" w:rsidRPr="00B6540E" w:rsidRDefault="0022553E" w:rsidP="0022553E">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2</w:t>
            </w:r>
          </w:p>
        </w:tc>
        <w:tc>
          <w:tcPr>
            <w:tcW w:w="710" w:type="dxa"/>
            <w:tcBorders>
              <w:top w:val="single" w:sz="4" w:space="0" w:color="auto"/>
              <w:left w:val="single" w:sz="4" w:space="0" w:color="auto"/>
              <w:bottom w:val="single" w:sz="4" w:space="0" w:color="000000"/>
              <w:right w:val="single" w:sz="4" w:space="0" w:color="auto"/>
            </w:tcBorders>
            <w:shd w:val="clear" w:color="auto" w:fill="auto"/>
            <w:vAlign w:val="center"/>
          </w:tcPr>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p>
          <w:p w:rsidR="0022553E" w:rsidRPr="00B6540E" w:rsidRDefault="0022553E" w:rsidP="0022553E">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危化企业场景清单</w:t>
            </w:r>
          </w:p>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消防</w:t>
            </w: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支队</w:t>
            </w:r>
          </w:p>
        </w:tc>
        <w:tc>
          <w:tcPr>
            <w:tcW w:w="3402"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消防安全管理制度落实情况；</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消防设施设备运行、维护情况；</w:t>
            </w:r>
          </w:p>
          <w:p w:rsidR="00384B08" w:rsidRPr="00B6540E" w:rsidRDefault="00384B08" w:rsidP="0022553E">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0022553E"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单位应急预案制定、培训、演练情况；</w:t>
            </w:r>
          </w:p>
        </w:tc>
        <w:tc>
          <w:tcPr>
            <w:tcW w:w="3260"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、中华人民共和国消防法；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、江苏省消防条例；</w:t>
            </w:r>
          </w:p>
        </w:tc>
        <w:tc>
          <w:tcPr>
            <w:tcW w:w="1134"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对单位消防安全主体责任的落实</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1.</w:t>
            </w:r>
            <w:r w:rsidR="00384B08" w:rsidRPr="00B6540E">
              <w:rPr>
                <w:rFonts w:ascii="Times New Roman" w:eastAsia="仿宋_GB2312" w:hAnsi="Times New Roman" w:cs="Times New Roman"/>
                <w:color w:val="000000"/>
                <w:spacing w:val="-8"/>
                <w:kern w:val="0"/>
                <w:szCs w:val="21"/>
              </w:rPr>
              <w:t>消防安全管理；</w:t>
            </w:r>
          </w:p>
          <w:p w:rsidR="00384B08"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2.</w:t>
            </w:r>
            <w:r w:rsidR="00384B08" w:rsidRPr="00B6540E">
              <w:rPr>
                <w:rFonts w:ascii="Times New Roman" w:eastAsia="仿宋_GB2312" w:hAnsi="Times New Roman" w:cs="Times New Roman"/>
                <w:color w:val="000000"/>
                <w:spacing w:val="-8"/>
                <w:kern w:val="0"/>
                <w:szCs w:val="21"/>
              </w:rPr>
              <w:t>建筑防火；</w:t>
            </w:r>
          </w:p>
          <w:p w:rsidR="00384B08"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3.</w:t>
            </w:r>
            <w:r w:rsidR="00384B08" w:rsidRPr="00B6540E">
              <w:rPr>
                <w:rFonts w:ascii="Times New Roman" w:eastAsia="仿宋_GB2312" w:hAnsi="Times New Roman" w:cs="Times New Roman"/>
                <w:color w:val="000000"/>
                <w:spacing w:val="-8"/>
                <w:kern w:val="0"/>
                <w:szCs w:val="21"/>
              </w:rPr>
              <w:t>安全疏散；</w:t>
            </w:r>
          </w:p>
          <w:p w:rsidR="00384B08"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4.</w:t>
            </w:r>
            <w:r w:rsidR="00384B08" w:rsidRPr="00B6540E">
              <w:rPr>
                <w:rFonts w:ascii="Times New Roman" w:eastAsia="仿宋_GB2312" w:hAnsi="Times New Roman" w:cs="Times New Roman"/>
                <w:color w:val="000000"/>
                <w:spacing w:val="-8"/>
                <w:kern w:val="0"/>
                <w:szCs w:val="21"/>
              </w:rPr>
              <w:t>消防控制室；</w:t>
            </w:r>
          </w:p>
          <w:p w:rsidR="00384B08" w:rsidRPr="00B6540E" w:rsidRDefault="0022553E" w:rsidP="0022553E">
            <w:pPr>
              <w:widowControl/>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5.</w:t>
            </w:r>
            <w:r w:rsidR="00384B08" w:rsidRPr="00B6540E">
              <w:rPr>
                <w:rFonts w:ascii="Times New Roman" w:eastAsia="仿宋_GB2312" w:hAnsi="Times New Roman" w:cs="Times New Roman"/>
                <w:color w:val="000000"/>
                <w:spacing w:val="-8"/>
                <w:kern w:val="0"/>
                <w:szCs w:val="21"/>
              </w:rPr>
              <w:t>消防设施器材；</w:t>
            </w:r>
          </w:p>
          <w:p w:rsidR="00384B08" w:rsidRPr="00B6540E" w:rsidRDefault="0022553E" w:rsidP="0022553E">
            <w:pPr>
              <w:widowControl/>
              <w:spacing w:line="22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spacing w:val="-8"/>
                <w:kern w:val="0"/>
                <w:szCs w:val="21"/>
              </w:rPr>
              <w:t>6.</w:t>
            </w:r>
            <w:r w:rsidR="00384B08" w:rsidRPr="00B6540E">
              <w:rPr>
                <w:rFonts w:ascii="Times New Roman" w:eastAsia="仿宋_GB2312" w:hAnsi="Times New Roman" w:cs="Times New Roman"/>
                <w:color w:val="000000"/>
                <w:spacing w:val="-8"/>
                <w:kern w:val="0"/>
                <w:szCs w:val="21"/>
              </w:rPr>
              <w:t>其他消防安全管理</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C25862" w:rsidRPr="00B6540E" w:rsidTr="00A46E3E">
        <w:trPr>
          <w:trHeight w:val="240"/>
          <w:jc w:val="center"/>
        </w:trPr>
        <w:tc>
          <w:tcPr>
            <w:tcW w:w="697" w:type="dxa"/>
            <w:vMerge w:val="restart"/>
            <w:tcBorders>
              <w:top w:val="nil"/>
              <w:left w:val="single" w:sz="4" w:space="0" w:color="auto"/>
              <w:bottom w:val="single" w:sz="4" w:space="0" w:color="000000"/>
              <w:right w:val="single" w:sz="4" w:space="0" w:color="auto"/>
            </w:tcBorders>
            <w:shd w:val="clear" w:color="auto" w:fill="auto"/>
            <w:noWrap/>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非煤矿山场景清单</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非煤矿山场景清单</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应急管理局</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3402" w:type="dxa"/>
            <w:tcBorders>
              <w:top w:val="nil"/>
              <w:left w:val="nil"/>
              <w:bottom w:val="single" w:sz="4" w:space="0" w:color="auto"/>
              <w:right w:val="single" w:sz="4" w:space="0" w:color="auto"/>
            </w:tcBorders>
            <w:shd w:val="clear" w:color="auto" w:fill="auto"/>
            <w:vAlign w:val="center"/>
          </w:tcPr>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1.</w:t>
            </w:r>
            <w:r w:rsidR="00384B08" w:rsidRPr="00B6540E">
              <w:rPr>
                <w:rFonts w:ascii="Times New Roman" w:eastAsia="仿宋_GB2312" w:hAnsi="Times New Roman" w:cs="Times New Roman"/>
                <w:color w:val="000000"/>
                <w:spacing w:val="-8"/>
                <w:kern w:val="0"/>
                <w:szCs w:val="21"/>
              </w:rPr>
              <w:t>对是否建立和落实安全生产责任制情况的检查；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2.</w:t>
            </w:r>
            <w:r w:rsidR="00384B08" w:rsidRPr="00B6540E">
              <w:rPr>
                <w:rFonts w:ascii="Times New Roman" w:eastAsia="仿宋_GB2312" w:hAnsi="Times New Roman" w:cs="Times New Roman"/>
                <w:color w:val="000000"/>
                <w:spacing w:val="-8"/>
                <w:kern w:val="0"/>
                <w:szCs w:val="21"/>
              </w:rPr>
              <w:t>对是否进行安全生产投入情况的检查；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3.</w:t>
            </w:r>
            <w:r w:rsidR="00384B08" w:rsidRPr="00B6540E">
              <w:rPr>
                <w:rFonts w:ascii="Times New Roman" w:eastAsia="仿宋_GB2312" w:hAnsi="Times New Roman" w:cs="Times New Roman"/>
                <w:color w:val="000000"/>
                <w:spacing w:val="-8"/>
                <w:kern w:val="0"/>
                <w:szCs w:val="21"/>
              </w:rPr>
              <w:t>对是否设立安全生产管理机构和管理人员情况的检查；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4.</w:t>
            </w:r>
            <w:r w:rsidR="00384B08" w:rsidRPr="00B6540E">
              <w:rPr>
                <w:rFonts w:ascii="Times New Roman" w:eastAsia="仿宋_GB2312" w:hAnsi="Times New Roman" w:cs="Times New Roman"/>
                <w:color w:val="000000"/>
                <w:spacing w:val="-8"/>
                <w:kern w:val="0"/>
                <w:szCs w:val="21"/>
              </w:rPr>
              <w:t>是否对从业人员受到安全生产教育、培训情况的检查；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5.</w:t>
            </w:r>
            <w:r w:rsidR="00384B08" w:rsidRPr="00B6540E">
              <w:rPr>
                <w:rFonts w:ascii="Times New Roman" w:eastAsia="仿宋_GB2312" w:hAnsi="Times New Roman" w:cs="Times New Roman"/>
                <w:color w:val="000000"/>
                <w:spacing w:val="-8"/>
                <w:kern w:val="0"/>
                <w:szCs w:val="21"/>
              </w:rPr>
              <w:t>是否对安全设备设施的维护、保养、定期检测情况的检查；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6.</w:t>
            </w:r>
            <w:r w:rsidR="00384B08" w:rsidRPr="00B6540E">
              <w:rPr>
                <w:rFonts w:ascii="Times New Roman" w:eastAsia="仿宋_GB2312" w:hAnsi="Times New Roman" w:cs="Times New Roman"/>
                <w:color w:val="000000"/>
                <w:spacing w:val="-8"/>
                <w:kern w:val="0"/>
                <w:szCs w:val="21"/>
              </w:rPr>
              <w:t>是否对劳保用品配备和使用情况的检查；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7.</w:t>
            </w:r>
            <w:r w:rsidR="00384B08" w:rsidRPr="00B6540E">
              <w:rPr>
                <w:rFonts w:ascii="Times New Roman" w:eastAsia="仿宋_GB2312" w:hAnsi="Times New Roman" w:cs="Times New Roman"/>
                <w:color w:val="000000"/>
                <w:spacing w:val="-8"/>
                <w:kern w:val="0"/>
                <w:szCs w:val="21"/>
              </w:rPr>
              <w:t>是否对外协工单位管理情况的检查；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8.</w:t>
            </w:r>
            <w:r w:rsidR="00384B08" w:rsidRPr="00B6540E">
              <w:rPr>
                <w:rFonts w:ascii="Times New Roman" w:eastAsia="仿宋_GB2312" w:hAnsi="Times New Roman" w:cs="Times New Roman"/>
                <w:color w:val="000000"/>
                <w:spacing w:val="-8"/>
                <w:kern w:val="0"/>
                <w:szCs w:val="21"/>
              </w:rPr>
              <w:t>是否组织对安全生产检查，及时排查治理生产安全事故隐患情况的检查；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9.</w:t>
            </w:r>
            <w:r w:rsidR="00384B08" w:rsidRPr="00B6540E">
              <w:rPr>
                <w:rFonts w:ascii="Times New Roman" w:eastAsia="仿宋_GB2312" w:hAnsi="Times New Roman" w:cs="Times New Roman"/>
                <w:color w:val="000000"/>
                <w:spacing w:val="-8"/>
                <w:kern w:val="0"/>
                <w:szCs w:val="21"/>
              </w:rPr>
              <w:t>对是否制定、实施生产安全事故应急预案情况的检查；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spacing w:val="-8"/>
                <w:kern w:val="0"/>
                <w:szCs w:val="21"/>
              </w:rPr>
            </w:pPr>
            <w:r w:rsidRPr="00B6540E">
              <w:rPr>
                <w:rFonts w:ascii="Times New Roman" w:eastAsia="仿宋_GB2312" w:hAnsi="Times New Roman" w:cs="Times New Roman"/>
                <w:color w:val="000000"/>
                <w:spacing w:val="-8"/>
                <w:kern w:val="0"/>
                <w:szCs w:val="21"/>
              </w:rPr>
              <w:t>11.</w:t>
            </w:r>
            <w:r w:rsidR="00384B08" w:rsidRPr="00B6540E">
              <w:rPr>
                <w:rFonts w:ascii="Times New Roman" w:eastAsia="仿宋_GB2312" w:hAnsi="Times New Roman" w:cs="Times New Roman"/>
                <w:color w:val="000000"/>
                <w:spacing w:val="-8"/>
                <w:kern w:val="0"/>
                <w:szCs w:val="21"/>
              </w:rPr>
              <w:t>对金属、非金属矿山企业是否建立应急救援组织情况的检查；</w:t>
            </w:r>
          </w:p>
          <w:p w:rsidR="00384B08" w:rsidRPr="00B6540E" w:rsidRDefault="0022553E" w:rsidP="0022553E">
            <w:pPr>
              <w:widowControl/>
              <w:tabs>
                <w:tab w:val="left" w:pos="312"/>
              </w:tabs>
              <w:spacing w:line="22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spacing w:val="-8"/>
                <w:kern w:val="0"/>
                <w:szCs w:val="21"/>
              </w:rPr>
              <w:t>12.</w:t>
            </w:r>
            <w:r w:rsidR="00384B08" w:rsidRPr="00B6540E">
              <w:rPr>
                <w:rFonts w:ascii="Times New Roman" w:eastAsia="仿宋_GB2312" w:hAnsi="Times New Roman" w:cs="Times New Roman"/>
                <w:color w:val="000000"/>
                <w:spacing w:val="-8"/>
                <w:kern w:val="0"/>
                <w:szCs w:val="21"/>
              </w:rPr>
              <w:t>对工业企业安全生产风险报告是否填报情况的检查。</w:t>
            </w:r>
          </w:p>
        </w:tc>
        <w:tc>
          <w:tcPr>
            <w:tcW w:w="3260"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《安全生产法》；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《金属非金属矿山安全规程》；</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《金属非金属矿山重大事故隐患判定标准》；</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《江苏省工业企业安全生产风险报告规定》（省政府令第</w:t>
            </w:r>
            <w:r w:rsidRPr="00B6540E">
              <w:rPr>
                <w:rFonts w:ascii="Times New Roman" w:eastAsia="仿宋_GB2312" w:hAnsi="Times New Roman" w:cs="Times New Roman"/>
                <w:color w:val="000000"/>
                <w:kern w:val="0"/>
                <w:szCs w:val="21"/>
              </w:rPr>
              <w:t xml:space="preserve"> 140 </w:t>
            </w:r>
            <w:r w:rsidRPr="00B6540E">
              <w:rPr>
                <w:rFonts w:ascii="Times New Roman" w:eastAsia="仿宋_GB2312" w:hAnsi="Times New Roman" w:cs="Times New Roman"/>
                <w:color w:val="000000"/>
                <w:kern w:val="0"/>
                <w:szCs w:val="21"/>
              </w:rPr>
              <w:t>号）。</w:t>
            </w:r>
          </w:p>
        </w:tc>
        <w:tc>
          <w:tcPr>
            <w:tcW w:w="1134"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对非煤矿山企业监管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对非煤矿山企业的行政检查；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对非煤矿企业的行政处罚。</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pStyle w:val="BodyText1I"/>
              <w:spacing w:line="240" w:lineRule="exact"/>
              <w:ind w:firstLineChars="0" w:firstLine="0"/>
              <w:rPr>
                <w:rFonts w:ascii="Times New Roman" w:eastAsia="仿宋_GB2312" w:hAnsi="Times New Roman"/>
                <w:color w:val="000000"/>
                <w:sz w:val="21"/>
                <w:szCs w:val="21"/>
              </w:rPr>
            </w:pPr>
            <w:r w:rsidRPr="00B6540E">
              <w:rPr>
                <w:rFonts w:ascii="Times New Roman" w:eastAsia="仿宋_GB2312" w:hAnsi="Times New Roman"/>
                <w:color w:val="000000"/>
                <w:sz w:val="21"/>
                <w:szCs w:val="21"/>
              </w:rPr>
              <w:t>1.</w:t>
            </w:r>
            <w:r w:rsidRPr="00B6540E">
              <w:rPr>
                <w:rFonts w:ascii="Times New Roman" w:eastAsia="仿宋_GB2312" w:hAnsi="Times New Roman"/>
                <w:color w:val="000000"/>
                <w:sz w:val="21"/>
                <w:szCs w:val="21"/>
              </w:rPr>
              <w:t>东海县上铁道砟有限公司白岭村南矿区。</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C25862" w:rsidRPr="00B6540E" w:rsidTr="00A46E3E">
        <w:trPr>
          <w:trHeight w:val="240"/>
          <w:jc w:val="center"/>
        </w:trPr>
        <w:tc>
          <w:tcPr>
            <w:tcW w:w="697" w:type="dxa"/>
            <w:vMerge/>
            <w:tcBorders>
              <w:top w:val="nil"/>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nil"/>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tc>
        <w:tc>
          <w:tcPr>
            <w:tcW w:w="851"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公安局</w:t>
            </w:r>
          </w:p>
        </w:tc>
        <w:tc>
          <w:tcPr>
            <w:tcW w:w="3402"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爆破作业现场安全监管</w:t>
            </w:r>
          </w:p>
        </w:tc>
        <w:tc>
          <w:tcPr>
            <w:tcW w:w="3260"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民用爆炸物品安全管理条例</w:t>
            </w:r>
          </w:p>
        </w:tc>
        <w:tc>
          <w:tcPr>
            <w:tcW w:w="1134"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对民用爆炸物品的监管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对爆破作业现场的检查</w:t>
            </w:r>
          </w:p>
        </w:tc>
        <w:tc>
          <w:tcPr>
            <w:tcW w:w="2268" w:type="dxa"/>
            <w:vMerge/>
            <w:tcBorders>
              <w:top w:val="single" w:sz="4" w:space="0" w:color="auto"/>
              <w:left w:val="nil"/>
              <w:right w:val="single" w:sz="4" w:space="0" w:color="auto"/>
            </w:tcBorders>
            <w:shd w:val="clear" w:color="auto" w:fill="auto"/>
            <w:vAlign w:val="center"/>
          </w:tcPr>
          <w:p w:rsidR="00384B08" w:rsidRPr="00B6540E" w:rsidRDefault="00384B08" w:rsidP="00787761">
            <w:pPr>
              <w:widowControl/>
              <w:numPr>
                <w:ilvl w:val="0"/>
                <w:numId w:val="10"/>
              </w:numPr>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C25862" w:rsidRPr="00B6540E" w:rsidTr="00A46E3E">
        <w:trPr>
          <w:trHeight w:val="240"/>
          <w:jc w:val="center"/>
        </w:trPr>
        <w:tc>
          <w:tcPr>
            <w:tcW w:w="697" w:type="dxa"/>
            <w:vMerge/>
            <w:tcBorders>
              <w:top w:val="nil"/>
              <w:left w:val="single" w:sz="4" w:space="0" w:color="auto"/>
              <w:bottom w:val="single" w:sz="4" w:space="0" w:color="auto"/>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nil"/>
              <w:left w:val="single" w:sz="4" w:space="0" w:color="auto"/>
              <w:bottom w:val="single" w:sz="4" w:space="0" w:color="auto"/>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nil"/>
              <w:left w:val="single" w:sz="4" w:space="0" w:color="auto"/>
              <w:bottom w:val="single" w:sz="4" w:space="0" w:color="auto"/>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自然资源局</w:t>
            </w:r>
          </w:p>
        </w:tc>
        <w:tc>
          <w:tcPr>
            <w:tcW w:w="3402"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是否严格按照开发利用方案规范开采，是否存在越层越界开采行为</w:t>
            </w:r>
          </w:p>
        </w:tc>
        <w:tc>
          <w:tcPr>
            <w:tcW w:w="3260"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矿产资源法</w:t>
            </w:r>
          </w:p>
        </w:tc>
        <w:tc>
          <w:tcPr>
            <w:tcW w:w="1134"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对矿山开采的监管</w:t>
            </w:r>
          </w:p>
        </w:tc>
        <w:tc>
          <w:tcPr>
            <w:tcW w:w="1701"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对矿山开采的行政检查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对矿山开采的行政处罚</w:t>
            </w:r>
          </w:p>
        </w:tc>
        <w:tc>
          <w:tcPr>
            <w:tcW w:w="2268" w:type="dxa"/>
            <w:vMerge/>
            <w:tcBorders>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C25862" w:rsidRPr="00B6540E" w:rsidTr="00A46E3E">
        <w:trPr>
          <w:trHeight w:val="240"/>
          <w:jc w:val="cent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667159">
            <w:pPr>
              <w:widowControl/>
              <w:spacing w:line="240" w:lineRule="exact"/>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冶金等工贸场景清单</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冶金等工贸场景清单</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冶金等工贸场景清单</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冶金等工贸场景清单</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A668F2" w:rsidRPr="00B6540E" w:rsidRDefault="00A668F2" w:rsidP="00787761">
            <w:pPr>
              <w:widowControl/>
              <w:spacing w:line="240" w:lineRule="exact"/>
              <w:jc w:val="center"/>
              <w:rPr>
                <w:rFonts w:ascii="Times New Roman" w:eastAsia="仿宋_GB2312" w:hAnsi="Times New Roman" w:cs="Times New Roman"/>
                <w:color w:val="000000"/>
                <w:kern w:val="0"/>
                <w:szCs w:val="21"/>
              </w:rPr>
            </w:pPr>
          </w:p>
          <w:p w:rsidR="00A668F2" w:rsidRPr="00B6540E" w:rsidRDefault="00A668F2"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6F6663">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冶金等工贸场景清单</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牵头部门</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w:t>
            </w: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理局</w:t>
            </w: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应急管</w:t>
            </w:r>
          </w:p>
          <w:p w:rsidR="000B5AA8" w:rsidRPr="00B6540E" w:rsidRDefault="000B5AA8" w:rsidP="000B5AA8">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理局</w:t>
            </w:r>
          </w:p>
          <w:p w:rsidR="000B5AA8" w:rsidRPr="00B6540E" w:rsidRDefault="000B5AA8" w:rsidP="000B5AA8">
            <w:pPr>
              <w:widowControl/>
              <w:spacing w:line="240" w:lineRule="exact"/>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p w:rsidR="000B5AA8" w:rsidRPr="00B6540E" w:rsidRDefault="000B5AA8" w:rsidP="00787761">
            <w:pPr>
              <w:widowControl/>
              <w:spacing w:line="240" w:lineRule="exact"/>
              <w:jc w:val="center"/>
              <w:rPr>
                <w:rFonts w:ascii="Times New Roman" w:eastAsia="仿宋_GB2312" w:hAnsi="Times New Roman" w:cs="Times New Roman"/>
                <w:color w:val="000000"/>
                <w:kern w:val="0"/>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对是否建立和落实安全生产责任制情况的检查；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是否对安全生产投入情况的检查；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对是否设立安全生产管理机构和管理人员情况的检查；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对是否对从业人员安全生产教育、培训情况的检查；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对是否按规定对安全设备设施的维护、保养、定期检测情况的检查；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对是否为工人配备劳保用品和使用情况的检查；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是否对外协工单位管理情况的检查；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对是否组织安全生产检查，及时排查治理生产安全事故隐患情况的检查；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对是否制定、实施生产安全事故应急预案情况的检查；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对冶金等工贸企业是否建立应急救援组织情况的检查；</w:t>
            </w:r>
          </w:p>
          <w:p w:rsidR="00384B08" w:rsidRPr="00B6540E" w:rsidRDefault="00384B08" w:rsidP="00787761">
            <w:pPr>
              <w:widowControl/>
              <w:numPr>
                <w:ilvl w:val="0"/>
                <w:numId w:val="11"/>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对工业企业安全生产风险报告是否填报情况的检查。</w:t>
            </w:r>
          </w:p>
        </w:tc>
        <w:tc>
          <w:tcPr>
            <w:tcW w:w="3260"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 xml:space="preserve">　</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《安全生产法》</w:t>
            </w:r>
            <w:r w:rsidRPr="00B6540E">
              <w:rPr>
                <w:rFonts w:ascii="Times New Roman" w:eastAsia="仿宋_GB2312" w:hAnsi="Times New Roman" w:cs="Times New Roman"/>
                <w:color w:val="000000"/>
                <w:kern w:val="0"/>
                <w:szCs w:val="21"/>
              </w:rPr>
              <w:t>;</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《江苏省安全生产条例》</w:t>
            </w:r>
            <w:r w:rsidRPr="00B6540E">
              <w:rPr>
                <w:rFonts w:ascii="Times New Roman" w:eastAsia="仿宋_GB2312" w:hAnsi="Times New Roman" w:cs="Times New Roman"/>
                <w:color w:val="000000"/>
                <w:kern w:val="0"/>
                <w:szCs w:val="21"/>
              </w:rPr>
              <w:t>;</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《江苏省工业企业安全生产风险报告规定》（省政府令第</w:t>
            </w:r>
            <w:r w:rsidRPr="00B6540E">
              <w:rPr>
                <w:rFonts w:ascii="Times New Roman" w:eastAsia="仿宋_GB2312" w:hAnsi="Times New Roman" w:cs="Times New Roman"/>
                <w:color w:val="000000"/>
                <w:kern w:val="0"/>
                <w:szCs w:val="21"/>
              </w:rPr>
              <w:t xml:space="preserve">140 </w:t>
            </w:r>
            <w:r w:rsidRPr="00B6540E">
              <w:rPr>
                <w:rFonts w:ascii="Times New Roman" w:eastAsia="仿宋_GB2312" w:hAnsi="Times New Roman" w:cs="Times New Roman"/>
                <w:color w:val="000000"/>
                <w:kern w:val="0"/>
                <w:szCs w:val="21"/>
              </w:rPr>
              <w:t>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对冶金等工贸企业监管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对冶金等工贸企业的行政检查；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对冶金等工贸企业的行政处罚。</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连云港畅伦交通器材有限公司；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连云港鑫旗铸造有限公司；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连云港天才照明电器有限公司；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江苏统万酿造有限公司</w:t>
            </w:r>
            <w:r w:rsidRPr="00B6540E">
              <w:rPr>
                <w:rFonts w:ascii="Times New Roman" w:eastAsia="仿宋_GB2312" w:hAnsi="Times New Roman" w:cs="Times New Roman"/>
                <w:color w:val="000000"/>
                <w:kern w:val="0"/>
                <w:szCs w:val="21"/>
              </w:rPr>
              <w:t xml:space="preserve"> </w:t>
            </w:r>
            <w:r w:rsidRPr="00B6540E">
              <w:rPr>
                <w:rFonts w:ascii="Times New Roman" w:eastAsia="仿宋_GB2312" w:hAnsi="Times New Roman" w:cs="Times New Roman"/>
                <w:color w:val="000000"/>
                <w:kern w:val="0"/>
                <w:szCs w:val="21"/>
              </w:rPr>
              <w:t>；</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江苏尧天服饰有限公司；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连云港市九洲电控设备有限公司；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连云港源泰皮业有限公司；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连云港万森皮业有限公司；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连云港诺旭镁制品有限公司；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江苏东辉再生物资有限公司；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连云港明昊电子有限公司；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连云港德友精工科技有限公司；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江苏东霞纺织集团有限公司；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灌南正方模具钢材料有限公司；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连云港欧尼斯特泵业有限公司；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连云港金典纺织科技有限公司；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江苏梦兴诺食品有限公司；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江苏太平洋石英股份有限公司；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光明集团连云港家具有限公司；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连云港福莱特木业有限公司；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灌南钰诚机械设备有限公司；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连云港金泉皮业有限公司；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连云港铸邦石化设</w:t>
            </w:r>
            <w:r w:rsidRPr="00B6540E">
              <w:rPr>
                <w:rFonts w:ascii="Times New Roman" w:eastAsia="仿宋_GB2312" w:hAnsi="Times New Roman" w:cs="Times New Roman"/>
                <w:color w:val="000000"/>
                <w:kern w:val="0"/>
                <w:szCs w:val="21"/>
              </w:rPr>
              <w:lastRenderedPageBreak/>
              <w:t>备有限公司；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连云港市如一机械加工有限公司；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连云港云善机械有限公司；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连云港君盛包装制品有限公司；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连云港市赣榆区繁荣铸造厂；</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江苏润睿生物科技有限公司；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江苏龙河酒业有限公司；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江苏凯序金原纸塑包装有限公司；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连云港乐享居木业有限公司；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连云港市金铂尔木业有限公司；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江苏佰益海洋科技有限公司；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连云港华洋玩具有限公司；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连云港港丰皮业有限公司；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灌南县中海化工机械设备厂；</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常茂生物连云港有限公司；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云港神龙涧建材有限公司；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连云港美雅舒智能家具有限公司；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中复碳芯电缆科技有限公司；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连云港前沿机械有限公司；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中复新水源科技有限公司；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连云港海创电子科技有限公司；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江苏联宇医疗器械有限公司；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连云港市振扬纸品有限公司；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连云港华昌生物工程有限公司；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连云港市华达铸件有限公司；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连云港赣榆腾飞机械铸造有限公司；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江苏得乐康生物科技有限公司；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江苏口缘镁业有限</w:t>
            </w:r>
            <w:r w:rsidRPr="00B6540E">
              <w:rPr>
                <w:rFonts w:ascii="Times New Roman" w:eastAsia="仿宋_GB2312" w:hAnsi="Times New Roman" w:cs="Times New Roman"/>
                <w:color w:val="000000"/>
                <w:kern w:val="0"/>
                <w:szCs w:val="21"/>
              </w:rPr>
              <w:lastRenderedPageBreak/>
              <w:t>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连云港安托山混凝土制品有限公司；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江苏百安达新材料有限公司；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连云港巴多斯服装有限公司；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连云港益云金属工业有限公司；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连云港竞洋利食品有限公司；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江苏弗瑞斯节能电器有限公司；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江苏赫尔斯镀膜技术有限公司；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丰山（连云港）新材料有限公司；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江苏德立信电子科技有限公司；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连云港良武铝业有限公司；</w:t>
            </w:r>
          </w:p>
          <w:p w:rsidR="00384B08" w:rsidRPr="00B6540E" w:rsidRDefault="00384B08" w:rsidP="00787761">
            <w:pPr>
              <w:widowControl/>
              <w:numPr>
                <w:ilvl w:val="0"/>
                <w:numId w:val="12"/>
              </w:num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连云港市群盛机械有限公司；　</w:t>
            </w: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 xml:space="preserve">　</w:t>
            </w:r>
          </w:p>
        </w:tc>
      </w:tr>
      <w:tr w:rsidR="00C25862" w:rsidRPr="00B6540E" w:rsidTr="00A46E3E">
        <w:trPr>
          <w:trHeight w:val="240"/>
          <w:jc w:val="center"/>
        </w:trPr>
        <w:tc>
          <w:tcPr>
            <w:tcW w:w="697" w:type="dxa"/>
            <w:vMerge/>
            <w:tcBorders>
              <w:top w:val="single" w:sz="4" w:space="0" w:color="auto"/>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single" w:sz="4" w:space="0" w:color="auto"/>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p>
          <w:p w:rsidR="00667159" w:rsidRPr="00B6540E" w:rsidRDefault="00667159" w:rsidP="00667159">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667159" w:rsidRPr="00B6540E" w:rsidRDefault="00667159"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6F6663">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配合部门</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生态环境局</w:t>
            </w:r>
          </w:p>
        </w:tc>
        <w:tc>
          <w:tcPr>
            <w:tcW w:w="3402"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对企业开展环境安全隐患排查治理情况的行政检查；对企业环境应急预案编制修订备案及风险评估情况的行政检查；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对企业建设项目环境影响评价制度及</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制度执行情况检查；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对企业排污许可制度执行情况检查；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对企业大气、水、固危废、噪声污染防治情况检查。</w:t>
            </w:r>
          </w:p>
        </w:tc>
        <w:tc>
          <w:tcPr>
            <w:tcW w:w="3260"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《中华人民共和国环境影响评价法》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《建设项目环境保护管理条例》</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《中华人民共和国大气污染防治法》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《中华人民共和国水污染防治法》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《中华人民共和国土壤污染防治法》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《中华人民共和国固体废物污染环境防治法》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《中华人民共和国环境噪声污染防治法》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《排污许可管理条例》</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9.</w:t>
            </w:r>
            <w:r w:rsidRPr="00B6540E">
              <w:rPr>
                <w:rFonts w:ascii="Times New Roman" w:eastAsia="仿宋_GB2312" w:hAnsi="Times New Roman" w:cs="Times New Roman"/>
                <w:color w:val="000000"/>
                <w:kern w:val="0"/>
                <w:szCs w:val="21"/>
              </w:rPr>
              <w:t>《突发环境事件应急管理办法》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10.</w:t>
            </w:r>
            <w:r w:rsidRPr="00B6540E">
              <w:rPr>
                <w:rFonts w:ascii="Times New Roman" w:eastAsia="仿宋_GB2312" w:hAnsi="Times New Roman" w:cs="Times New Roman"/>
                <w:color w:val="000000"/>
                <w:kern w:val="0"/>
                <w:szCs w:val="21"/>
              </w:rPr>
              <w:t>《畜禽规模养殖污染防治条例》</w:t>
            </w:r>
          </w:p>
        </w:tc>
        <w:tc>
          <w:tcPr>
            <w:tcW w:w="1134"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对企业环境保护管理制度落实情况的监管</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对企业开展环境安全隐患排查治理情况的行政检查；对企业环境应急预案编制修订备案及风险评估情况的行政检查；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对企业建设项目环境影响评价制度及</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制度执行情况检查；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对企业排污许可制度执行情况检查；</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对企业大气、水、固危废、噪声污染防治情况检查。</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6F6663" w:rsidRPr="00B6540E" w:rsidTr="00AD6E7E">
        <w:trPr>
          <w:trHeight w:val="240"/>
          <w:jc w:val="center"/>
        </w:trPr>
        <w:tc>
          <w:tcPr>
            <w:tcW w:w="697"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851" w:type="dxa"/>
            <w:vMerge w:val="restart"/>
            <w:tcBorders>
              <w:top w:val="nil"/>
              <w:left w:val="nil"/>
              <w:right w:val="single" w:sz="4" w:space="0" w:color="auto"/>
            </w:tcBorders>
            <w:shd w:val="clear" w:color="auto" w:fill="auto"/>
            <w:vAlign w:val="center"/>
          </w:tcPr>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市场局</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卫健委</w:t>
            </w:r>
          </w:p>
        </w:tc>
        <w:tc>
          <w:tcPr>
            <w:tcW w:w="3402" w:type="dxa"/>
            <w:vMerge w:val="restart"/>
            <w:tcBorders>
              <w:top w:val="nil"/>
              <w:left w:val="nil"/>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所抽查设备办理使用登记</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所抽查设备在检验有效期内</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按要求建立设备档案且档案齐全</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所抽查设备按要求进行经常性维护保养或者定期自行检查并有记录</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有设备故障</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异常情况处理记录</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有事故隐患排查和整治记录</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安全管理人员和作业人员证件在有效期内，项目符合要求并办理聘用手续</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有特种设备作业人员培训考核记录</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9.</w:t>
            </w:r>
            <w:r w:rsidRPr="00B6540E">
              <w:rPr>
                <w:rFonts w:ascii="Times New Roman" w:eastAsia="仿宋_GB2312" w:hAnsi="Times New Roman" w:cs="Times New Roman"/>
                <w:color w:val="000000"/>
                <w:kern w:val="0"/>
                <w:szCs w:val="21"/>
              </w:rPr>
              <w:t>按规定设置安全管理机构或配备专兼职安全管理人员，并书面任命安全责任人</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10.</w:t>
            </w:r>
            <w:r w:rsidRPr="00B6540E">
              <w:rPr>
                <w:rFonts w:ascii="Times New Roman" w:eastAsia="仿宋_GB2312" w:hAnsi="Times New Roman" w:cs="Times New Roman"/>
                <w:color w:val="000000"/>
                <w:kern w:val="0"/>
                <w:szCs w:val="21"/>
              </w:rPr>
              <w:t>建立并实施安全管理制度和操作规程</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11.</w:t>
            </w:r>
            <w:r w:rsidRPr="00B6540E">
              <w:rPr>
                <w:rFonts w:ascii="Times New Roman" w:eastAsia="仿宋_GB2312" w:hAnsi="Times New Roman" w:cs="Times New Roman"/>
                <w:color w:val="000000"/>
                <w:kern w:val="0"/>
                <w:szCs w:val="21"/>
              </w:rPr>
              <w:t>制定事故应急（专项）预案并有演练记录</w:t>
            </w: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职业病防治管理组织和措施；</w:t>
            </w: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职业卫生培训；</w:t>
            </w: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建设项目职业病防护设施</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w:t>
            </w: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劳动者职业健康监护；</w:t>
            </w:r>
          </w:p>
          <w:p w:rsidR="006F6663" w:rsidRPr="00B6540E" w:rsidRDefault="006F6663" w:rsidP="006F6663">
            <w:pPr>
              <w:tabs>
                <w:tab w:val="left" w:pos="312"/>
              </w:tabs>
              <w:spacing w:line="240" w:lineRule="exact"/>
              <w:rPr>
                <w:rFonts w:ascii="Times New Roman" w:eastAsia="仿宋_GB2312" w:hAnsi="Times New Roman" w:cs="Times New Roman"/>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工作场所职业卫生管理；</w:t>
            </w:r>
          </w:p>
        </w:tc>
        <w:tc>
          <w:tcPr>
            <w:tcW w:w="3260" w:type="dxa"/>
            <w:vMerge w:val="restart"/>
            <w:tcBorders>
              <w:top w:val="nil"/>
              <w:left w:val="nil"/>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《中华人民共和国特种设备安全法》第五十七条</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《特种设备安全监察条例》第五十条</w:t>
            </w: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《中华人民共和国职业病防治法》</w:t>
            </w:r>
          </w:p>
          <w:p w:rsidR="006F6663" w:rsidRPr="00B6540E" w:rsidRDefault="006F6663" w:rsidP="006F6663">
            <w:pPr>
              <w:tabs>
                <w:tab w:val="left" w:pos="312"/>
              </w:tabs>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《工作场所职业卫生管理规定》</w:t>
            </w:r>
          </w:p>
        </w:tc>
        <w:tc>
          <w:tcPr>
            <w:tcW w:w="1134" w:type="dxa"/>
            <w:vMerge w:val="restart"/>
            <w:tcBorders>
              <w:top w:val="nil"/>
              <w:left w:val="nil"/>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对特种设备使用的监管</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spacing w:line="240" w:lineRule="exact"/>
              <w:rPr>
                <w:rFonts w:ascii="Times New Roman" w:eastAsia="仿宋_GB2312" w:hAnsi="Times New Roman" w:cs="Times New Roman"/>
                <w:color w:val="000000"/>
                <w:kern w:val="0"/>
                <w:szCs w:val="21"/>
              </w:rPr>
            </w:pPr>
          </w:p>
          <w:p w:rsidR="006F6663" w:rsidRPr="00B6540E" w:rsidRDefault="006F6663" w:rsidP="00787761">
            <w:pPr>
              <w:spacing w:line="240" w:lineRule="exact"/>
              <w:rPr>
                <w:rFonts w:ascii="Times New Roman" w:eastAsia="仿宋_GB2312" w:hAnsi="Times New Roman" w:cs="Times New Roman"/>
                <w:color w:val="000000"/>
                <w:kern w:val="0"/>
                <w:szCs w:val="21"/>
              </w:rPr>
            </w:pPr>
          </w:p>
          <w:p w:rsidR="006F6663" w:rsidRPr="00B6540E" w:rsidRDefault="006F6663" w:rsidP="00787761">
            <w:pPr>
              <w:spacing w:line="240" w:lineRule="exact"/>
              <w:rPr>
                <w:rFonts w:ascii="Times New Roman" w:eastAsia="仿宋_GB2312" w:hAnsi="Times New Roman" w:cs="Times New Roman"/>
                <w:color w:val="000000"/>
                <w:kern w:val="0"/>
                <w:szCs w:val="21"/>
              </w:rPr>
            </w:pPr>
          </w:p>
          <w:p w:rsidR="006F6663" w:rsidRPr="00B6540E" w:rsidRDefault="006F6663" w:rsidP="00787761">
            <w:p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对用人单位是否落实职业病防治措施的监管</w:t>
            </w:r>
          </w:p>
        </w:tc>
        <w:tc>
          <w:tcPr>
            <w:tcW w:w="1701" w:type="dxa"/>
            <w:vMerge w:val="restart"/>
            <w:tcBorders>
              <w:top w:val="single" w:sz="4" w:space="0" w:color="auto"/>
              <w:left w:val="nil"/>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1.</w:t>
            </w:r>
            <w:r w:rsidRPr="00B6540E">
              <w:rPr>
                <w:rFonts w:ascii="Times New Roman" w:eastAsia="仿宋_GB2312" w:hAnsi="Times New Roman" w:cs="Times New Roman"/>
                <w:color w:val="000000"/>
                <w:kern w:val="0"/>
                <w:szCs w:val="21"/>
              </w:rPr>
              <w:t>对特种设备使用单位的行政检查</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对特种设备使用单位的行政处罚</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对是否按规定开展工作场所职业病危害因素监测、检测、评价的行政检查；</w:t>
            </w: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对是否按规定开展工作场所职业病危害因素监测、检测、评价的行政处罚；</w:t>
            </w: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对是否按规定开展劳动者职业健康监护行政检查；</w:t>
            </w: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对是否按规定开展劳动者职业健康监护行政处罚；</w:t>
            </w: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对是否组织职业卫生培训行为的行政检查；</w:t>
            </w:r>
            <w:r w:rsidRPr="00B6540E">
              <w:rPr>
                <w:rFonts w:ascii="Times New Roman" w:eastAsia="仿宋_GB2312" w:hAnsi="Times New Roman" w:cs="Times New Roman"/>
                <w:color w:val="000000"/>
                <w:kern w:val="0"/>
                <w:szCs w:val="21"/>
              </w:rPr>
              <w:t xml:space="preserve"> 6.</w:t>
            </w:r>
            <w:r w:rsidRPr="00B6540E">
              <w:rPr>
                <w:rFonts w:ascii="Times New Roman" w:eastAsia="仿宋_GB2312" w:hAnsi="Times New Roman" w:cs="Times New Roman"/>
                <w:color w:val="000000"/>
                <w:kern w:val="0"/>
                <w:szCs w:val="21"/>
              </w:rPr>
              <w:t>对是否</w:t>
            </w:r>
            <w:r w:rsidRPr="00B6540E">
              <w:rPr>
                <w:rFonts w:ascii="Times New Roman" w:eastAsia="仿宋_GB2312" w:hAnsi="Times New Roman" w:cs="Times New Roman"/>
                <w:color w:val="000000"/>
                <w:kern w:val="0"/>
                <w:szCs w:val="21"/>
              </w:rPr>
              <w:lastRenderedPageBreak/>
              <w:t>组织职业卫生培训行为的行政处罚；</w:t>
            </w:r>
            <w:r w:rsidRPr="00B6540E">
              <w:rPr>
                <w:rFonts w:ascii="Times New Roman" w:eastAsia="仿宋_GB2312" w:hAnsi="Times New Roman" w:cs="Times New Roman"/>
                <w:color w:val="000000"/>
                <w:kern w:val="0"/>
                <w:szCs w:val="21"/>
              </w:rPr>
              <w:t>7.</w:t>
            </w:r>
            <w:r w:rsidRPr="00B6540E">
              <w:rPr>
                <w:rFonts w:ascii="Times New Roman" w:eastAsia="仿宋_GB2312" w:hAnsi="Times New Roman" w:cs="Times New Roman"/>
                <w:color w:val="000000"/>
                <w:kern w:val="0"/>
                <w:szCs w:val="21"/>
              </w:rPr>
              <w:t>对是否落实建设项目职业病防护设施</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制度的行政检查；</w:t>
            </w:r>
          </w:p>
          <w:p w:rsidR="006F6663" w:rsidRPr="00B6540E" w:rsidRDefault="006F6663" w:rsidP="00787761">
            <w:pPr>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8.</w:t>
            </w:r>
            <w:r w:rsidRPr="00B6540E">
              <w:rPr>
                <w:rFonts w:ascii="Times New Roman" w:eastAsia="仿宋_GB2312" w:hAnsi="Times New Roman" w:cs="Times New Roman"/>
                <w:color w:val="000000"/>
                <w:kern w:val="0"/>
                <w:szCs w:val="21"/>
              </w:rPr>
              <w:t>对是否落实建设项目职业病防护设施</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三同时</w:t>
            </w:r>
            <w:r w:rsidRPr="00B6540E">
              <w:rPr>
                <w:rFonts w:ascii="Times New Roman" w:eastAsia="仿宋_GB2312" w:hAnsi="Times New Roman" w:cs="Times New Roman"/>
                <w:color w:val="000000"/>
                <w:kern w:val="0"/>
                <w:szCs w:val="21"/>
              </w:rPr>
              <w:t>”</w:t>
            </w:r>
            <w:r w:rsidRPr="00B6540E">
              <w:rPr>
                <w:rFonts w:ascii="Times New Roman" w:eastAsia="仿宋_GB2312" w:hAnsi="Times New Roman" w:cs="Times New Roman"/>
                <w:color w:val="000000"/>
                <w:kern w:val="0"/>
                <w:szCs w:val="21"/>
              </w:rPr>
              <w:t>制度的行政处罚；</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按照事权划分，特种设备使用单位的监督检查由县区局负责。根据往常惯例及制定程序，市级市场监管系统的年度监督检查计划一般于每年省局年度监督检查计划出台后，二、三月份制定，最终监督检查单位名单以年度监督检查计划为准。</w:t>
            </w:r>
          </w:p>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tc>
      </w:tr>
      <w:tr w:rsidR="006F6663" w:rsidRPr="00B6540E" w:rsidTr="00AD6E7E">
        <w:trPr>
          <w:trHeight w:val="240"/>
          <w:jc w:val="center"/>
        </w:trPr>
        <w:tc>
          <w:tcPr>
            <w:tcW w:w="697"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tcPr>
          <w:p w:rsidR="006F6663" w:rsidRPr="00B6540E" w:rsidRDefault="006F6663" w:rsidP="00787761">
            <w:pPr>
              <w:widowControl/>
              <w:spacing w:line="240" w:lineRule="exact"/>
              <w:jc w:val="left"/>
              <w:rPr>
                <w:rFonts w:ascii="Times New Roman" w:eastAsia="仿宋_GB2312" w:hAnsi="Times New Roman" w:cs="Times New Roman"/>
                <w:color w:val="000000"/>
                <w:kern w:val="0"/>
                <w:szCs w:val="21"/>
              </w:rPr>
            </w:pPr>
          </w:p>
        </w:tc>
        <w:tc>
          <w:tcPr>
            <w:tcW w:w="851" w:type="dxa"/>
            <w:vMerge/>
            <w:tcBorders>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tc>
        <w:tc>
          <w:tcPr>
            <w:tcW w:w="3402" w:type="dxa"/>
            <w:vMerge/>
            <w:tcBorders>
              <w:left w:val="nil"/>
              <w:bottom w:val="single" w:sz="4" w:space="0" w:color="auto"/>
              <w:right w:val="single" w:sz="4" w:space="0" w:color="auto"/>
            </w:tcBorders>
            <w:shd w:val="clear" w:color="auto" w:fill="auto"/>
            <w:vAlign w:val="center"/>
          </w:tcPr>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tc>
        <w:tc>
          <w:tcPr>
            <w:tcW w:w="3260" w:type="dxa"/>
            <w:vMerge/>
            <w:tcBorders>
              <w:left w:val="nil"/>
              <w:bottom w:val="single" w:sz="4" w:space="0" w:color="auto"/>
              <w:right w:val="single" w:sz="4" w:space="0" w:color="auto"/>
            </w:tcBorders>
            <w:shd w:val="clear" w:color="auto" w:fill="auto"/>
            <w:vAlign w:val="center"/>
          </w:tcPr>
          <w:p w:rsidR="006F6663" w:rsidRPr="00B6540E" w:rsidRDefault="006F6663" w:rsidP="006F6663">
            <w:pPr>
              <w:widowControl/>
              <w:tabs>
                <w:tab w:val="left" w:pos="312"/>
              </w:tabs>
              <w:spacing w:line="240" w:lineRule="exact"/>
              <w:rPr>
                <w:rFonts w:ascii="Times New Roman" w:eastAsia="仿宋_GB2312" w:hAnsi="Times New Roman" w:cs="Times New Roman"/>
                <w:color w:val="000000"/>
                <w:kern w:val="0"/>
                <w:szCs w:val="21"/>
              </w:rPr>
            </w:pPr>
          </w:p>
        </w:tc>
        <w:tc>
          <w:tcPr>
            <w:tcW w:w="1134" w:type="dxa"/>
            <w:vMerge/>
            <w:tcBorders>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tc>
        <w:tc>
          <w:tcPr>
            <w:tcW w:w="1701" w:type="dxa"/>
            <w:vMerge/>
            <w:tcBorders>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6F6663" w:rsidRPr="00B6540E" w:rsidRDefault="006F6663" w:rsidP="00787761">
            <w:pPr>
              <w:widowControl/>
              <w:numPr>
                <w:ilvl w:val="0"/>
                <w:numId w:val="15"/>
              </w:numPr>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tr w:rsidR="00C25862" w:rsidRPr="00B6540E" w:rsidTr="00A46E3E">
        <w:trPr>
          <w:trHeight w:val="240"/>
          <w:jc w:val="center"/>
        </w:trPr>
        <w:tc>
          <w:tcPr>
            <w:tcW w:w="697" w:type="dxa"/>
            <w:vMerge/>
            <w:tcBorders>
              <w:top w:val="nil"/>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10" w:type="dxa"/>
            <w:vMerge/>
            <w:tcBorders>
              <w:top w:val="nil"/>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tcPr>
          <w:p w:rsidR="00384B08" w:rsidRPr="00B6540E" w:rsidRDefault="00384B08" w:rsidP="00787761">
            <w:pPr>
              <w:widowControl/>
              <w:spacing w:line="240" w:lineRule="exact"/>
              <w:jc w:val="left"/>
              <w:rPr>
                <w:rFonts w:ascii="Times New Roman" w:eastAsia="仿宋_GB2312" w:hAnsi="Times New Roman" w:cs="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消防</w:t>
            </w:r>
          </w:p>
          <w:p w:rsidR="00384B08" w:rsidRPr="00B6540E" w:rsidRDefault="00384B08" w:rsidP="00787761">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支队</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p w:rsidR="006F6663" w:rsidRPr="00B6540E" w:rsidRDefault="006F6663" w:rsidP="006F6663">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消防</w:t>
            </w:r>
          </w:p>
          <w:p w:rsidR="006F6663" w:rsidRPr="00B6540E" w:rsidRDefault="006F6663" w:rsidP="006F6663">
            <w:pPr>
              <w:widowControl/>
              <w:spacing w:line="240" w:lineRule="exact"/>
              <w:jc w:val="center"/>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支队</w:t>
            </w:r>
          </w:p>
          <w:p w:rsidR="006F6663" w:rsidRPr="00B6540E" w:rsidRDefault="006F6663" w:rsidP="00787761">
            <w:pPr>
              <w:widowControl/>
              <w:spacing w:line="240" w:lineRule="exact"/>
              <w:jc w:val="center"/>
              <w:rPr>
                <w:rFonts w:ascii="Times New Roman" w:eastAsia="仿宋_GB2312" w:hAnsi="Times New Roman" w:cs="Times New Roman"/>
                <w:color w:val="000000"/>
                <w:kern w:val="0"/>
                <w:szCs w:val="21"/>
              </w:rPr>
            </w:pPr>
          </w:p>
        </w:tc>
        <w:tc>
          <w:tcPr>
            <w:tcW w:w="3402"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lastRenderedPageBreak/>
              <w:t>1.</w:t>
            </w:r>
            <w:r w:rsidRPr="00B6540E">
              <w:rPr>
                <w:rFonts w:ascii="Times New Roman" w:eastAsia="仿宋_GB2312" w:hAnsi="Times New Roman" w:cs="Times New Roman"/>
                <w:color w:val="000000"/>
                <w:kern w:val="0"/>
                <w:szCs w:val="21"/>
              </w:rPr>
              <w:t>消防安全管理制度落实情况；</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消防设施设备运行情况；</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单位应急预案制定、培训、演练情况；</w:t>
            </w:r>
          </w:p>
        </w:tc>
        <w:tc>
          <w:tcPr>
            <w:tcW w:w="3260"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中华人民共和国消防法；</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江苏省消防条例；</w:t>
            </w:r>
          </w:p>
        </w:tc>
        <w:tc>
          <w:tcPr>
            <w:tcW w:w="1134"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对单位消防安全主体责任的落实</w:t>
            </w:r>
          </w:p>
        </w:tc>
        <w:tc>
          <w:tcPr>
            <w:tcW w:w="1701" w:type="dxa"/>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1.</w:t>
            </w:r>
            <w:r w:rsidRPr="00B6540E">
              <w:rPr>
                <w:rFonts w:ascii="Times New Roman" w:eastAsia="仿宋_GB2312" w:hAnsi="Times New Roman" w:cs="Times New Roman"/>
                <w:color w:val="000000"/>
                <w:kern w:val="0"/>
                <w:szCs w:val="21"/>
              </w:rPr>
              <w:t>消防安全管理；</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2.</w:t>
            </w:r>
            <w:r w:rsidRPr="00B6540E">
              <w:rPr>
                <w:rFonts w:ascii="Times New Roman" w:eastAsia="仿宋_GB2312" w:hAnsi="Times New Roman" w:cs="Times New Roman"/>
                <w:color w:val="000000"/>
                <w:kern w:val="0"/>
                <w:szCs w:val="21"/>
              </w:rPr>
              <w:t>建筑防火；</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3.</w:t>
            </w:r>
            <w:r w:rsidRPr="00B6540E">
              <w:rPr>
                <w:rFonts w:ascii="Times New Roman" w:eastAsia="仿宋_GB2312" w:hAnsi="Times New Roman" w:cs="Times New Roman"/>
                <w:color w:val="000000"/>
                <w:kern w:val="0"/>
                <w:szCs w:val="21"/>
              </w:rPr>
              <w:t>安全疏散；</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4.</w:t>
            </w:r>
            <w:r w:rsidRPr="00B6540E">
              <w:rPr>
                <w:rFonts w:ascii="Times New Roman" w:eastAsia="仿宋_GB2312" w:hAnsi="Times New Roman" w:cs="Times New Roman"/>
                <w:color w:val="000000"/>
                <w:kern w:val="0"/>
                <w:szCs w:val="21"/>
              </w:rPr>
              <w:t>消防控制室；</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5.</w:t>
            </w:r>
            <w:r w:rsidRPr="00B6540E">
              <w:rPr>
                <w:rFonts w:ascii="Times New Roman" w:eastAsia="仿宋_GB2312" w:hAnsi="Times New Roman" w:cs="Times New Roman"/>
                <w:color w:val="000000"/>
                <w:kern w:val="0"/>
                <w:szCs w:val="21"/>
              </w:rPr>
              <w:t>消防设施器材；</w:t>
            </w:r>
          </w:p>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6.</w:t>
            </w:r>
            <w:r w:rsidRPr="00B6540E">
              <w:rPr>
                <w:rFonts w:ascii="Times New Roman" w:eastAsia="仿宋_GB2312" w:hAnsi="Times New Roman" w:cs="Times New Roman"/>
                <w:color w:val="000000"/>
                <w:kern w:val="0"/>
                <w:szCs w:val="21"/>
              </w:rPr>
              <w:t>其他消防安全管理。</w:t>
            </w:r>
          </w:p>
        </w:tc>
        <w:tc>
          <w:tcPr>
            <w:tcW w:w="2268" w:type="dxa"/>
            <w:vMerge/>
            <w:tcBorders>
              <w:top w:val="single" w:sz="4" w:space="0" w:color="auto"/>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p>
        </w:tc>
        <w:tc>
          <w:tcPr>
            <w:tcW w:w="1188" w:type="dxa"/>
            <w:tcBorders>
              <w:top w:val="nil"/>
              <w:left w:val="nil"/>
              <w:bottom w:val="single" w:sz="4" w:space="0" w:color="auto"/>
              <w:right w:val="single" w:sz="4" w:space="0" w:color="auto"/>
            </w:tcBorders>
            <w:shd w:val="clear" w:color="auto" w:fill="auto"/>
            <w:vAlign w:val="center"/>
          </w:tcPr>
          <w:p w:rsidR="00384B08" w:rsidRPr="00B6540E" w:rsidRDefault="00384B08" w:rsidP="00787761">
            <w:pPr>
              <w:widowControl/>
              <w:spacing w:line="240" w:lineRule="exact"/>
              <w:rPr>
                <w:rFonts w:ascii="Times New Roman" w:eastAsia="仿宋_GB2312" w:hAnsi="Times New Roman" w:cs="Times New Roman"/>
                <w:color w:val="000000"/>
                <w:kern w:val="0"/>
                <w:szCs w:val="21"/>
              </w:rPr>
            </w:pPr>
            <w:r w:rsidRPr="00B6540E">
              <w:rPr>
                <w:rFonts w:ascii="Times New Roman" w:eastAsia="仿宋_GB2312" w:hAnsi="Times New Roman" w:cs="Times New Roman"/>
                <w:color w:val="000000"/>
                <w:kern w:val="0"/>
                <w:szCs w:val="21"/>
              </w:rPr>
              <w:t xml:space="preserve">　</w:t>
            </w:r>
          </w:p>
        </w:tc>
      </w:tr>
      <w:bookmarkEnd w:id="0"/>
    </w:tbl>
    <w:p w:rsidR="00384B08" w:rsidRPr="00B6540E" w:rsidRDefault="00384B08">
      <w:pPr>
        <w:widowControl/>
        <w:jc w:val="left"/>
        <w:rPr>
          <w:rFonts w:ascii="Times New Roman" w:hAnsi="Times New Roman" w:cs="Times New Roman"/>
          <w:sz w:val="28"/>
          <w:szCs w:val="28"/>
        </w:rPr>
        <w:sectPr w:rsidR="00384B08" w:rsidRPr="00B6540E" w:rsidSect="005C6E64">
          <w:footerReference w:type="even" r:id="rId7"/>
          <w:footerReference w:type="default" r:id="rId8"/>
          <w:pgSz w:w="16838" w:h="11906" w:orient="landscape"/>
          <w:pgMar w:top="1800" w:right="1440" w:bottom="1800" w:left="1440" w:header="851" w:footer="992" w:gutter="0"/>
          <w:pgNumType w:fmt="numberInDash"/>
          <w:cols w:space="720"/>
          <w:docGrid w:linePitch="312"/>
        </w:sectPr>
      </w:pPr>
    </w:p>
    <w:p w:rsidR="0029698F" w:rsidRPr="00B6540E" w:rsidRDefault="0029698F" w:rsidP="0029698F">
      <w:pPr>
        <w:rPr>
          <w:rFonts w:ascii="Times New Roman" w:hAnsi="Times New Roman" w:cs="Times New Roman"/>
          <w:sz w:val="28"/>
          <w:szCs w:val="28"/>
        </w:rPr>
      </w:pPr>
    </w:p>
    <w:sectPr w:rsidR="0029698F" w:rsidRPr="00B6540E" w:rsidSect="00384B08">
      <w:footerReference w:type="default" r:id="rId9"/>
      <w:pgSz w:w="11906" w:h="16838"/>
      <w:pgMar w:top="1440" w:right="1800" w:bottom="1440" w:left="1800"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7BE" w:rsidRDefault="001147BE" w:rsidP="00FE38DB">
      <w:r>
        <w:separator/>
      </w:r>
    </w:p>
  </w:endnote>
  <w:endnote w:type="continuationSeparator" w:id="0">
    <w:p w:rsidR="001147BE" w:rsidRDefault="001147BE" w:rsidP="00FE3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xi Sans">
    <w:altName w:val="Arial"/>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溘冼_GB2312">
    <w:altName w:val="MingLiU-ExtB"/>
    <w:panose1 w:val="00000000000000000000"/>
    <w:charset w:val="88"/>
    <w:family w:val="modern"/>
    <w:notTrueType/>
    <w:pitch w:val="default"/>
    <w:sig w:usb0="00000001" w:usb1="08080000" w:usb2="00000010" w:usb3="00000000" w:csb0="00100000" w:csb1="00000000"/>
  </w:font>
  <w:font w:name="等线">
    <w:altName w:val="微软雅黑"/>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05287"/>
      <w:docPartList>
        <w:docPartGallery w:val="Quick Parts"/>
      </w:docPartList>
    </w:sdtPr>
    <w:sdtContent>
      <w:p w:rsidR="00AD6E7E" w:rsidRDefault="00E82546" w:rsidP="00CC00C6">
        <w:pPr>
          <w:pStyle w:val="a7"/>
          <w:ind w:firstLineChars="200" w:firstLine="360"/>
        </w:pPr>
        <w:r>
          <w:rPr>
            <w:rFonts w:ascii="Batang" w:eastAsia="Batang"/>
            <w:sz w:val="28"/>
            <w:szCs w:val="28"/>
          </w:rPr>
          <w:fldChar w:fldCharType="begin"/>
        </w:r>
        <w:r w:rsidR="00AD6E7E">
          <w:rPr>
            <w:rFonts w:ascii="Batang" w:eastAsia="Batang"/>
            <w:sz w:val="28"/>
            <w:szCs w:val="28"/>
          </w:rPr>
          <w:instrText xml:space="preserve"> PAGE   \* MERGEFORMAT </w:instrText>
        </w:r>
        <w:r>
          <w:rPr>
            <w:rFonts w:ascii="Batang" w:eastAsia="Batang"/>
            <w:sz w:val="28"/>
            <w:szCs w:val="28"/>
          </w:rPr>
          <w:fldChar w:fldCharType="separate"/>
        </w:r>
        <w:r w:rsidR="00CC00C6" w:rsidRPr="00CC00C6">
          <w:rPr>
            <w:rFonts w:ascii="Batang" w:eastAsia="Batang"/>
            <w:noProof/>
            <w:sz w:val="28"/>
            <w:szCs w:val="28"/>
            <w:lang w:val="zh-CN"/>
          </w:rPr>
          <w:t>-</w:t>
        </w:r>
        <w:r w:rsidR="00CC00C6">
          <w:rPr>
            <w:rFonts w:ascii="Batang" w:eastAsia="Batang"/>
            <w:noProof/>
            <w:sz w:val="28"/>
            <w:szCs w:val="28"/>
          </w:rPr>
          <w:t xml:space="preserve"> 12 -</w:t>
        </w:r>
        <w:r>
          <w:rPr>
            <w:rFonts w:ascii="Batang" w:eastAsia="Batang"/>
            <w:sz w:val="28"/>
            <w:szCs w:val="28"/>
          </w:rPr>
          <w:fldChar w:fldCharType="end"/>
        </w:r>
      </w:p>
    </w:sdtContent>
  </w:sdt>
  <w:p w:rsidR="00AD6E7E" w:rsidRDefault="00AD6E7E">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05288"/>
      <w:docPartList>
        <w:docPartGallery w:val="Quick Parts"/>
      </w:docPartList>
    </w:sdtPr>
    <w:sdtContent>
      <w:p w:rsidR="00AD6E7E" w:rsidRDefault="00E82546">
        <w:pPr>
          <w:pStyle w:val="a7"/>
          <w:ind w:right="360"/>
          <w:jc w:val="right"/>
        </w:pPr>
        <w:r>
          <w:rPr>
            <w:rFonts w:ascii="Batang" w:eastAsia="Batang"/>
            <w:sz w:val="28"/>
            <w:szCs w:val="28"/>
          </w:rPr>
          <w:fldChar w:fldCharType="begin"/>
        </w:r>
        <w:r w:rsidR="00AD6E7E">
          <w:rPr>
            <w:rFonts w:ascii="Batang" w:eastAsia="Batang"/>
            <w:sz w:val="28"/>
            <w:szCs w:val="28"/>
          </w:rPr>
          <w:instrText xml:space="preserve"> PAGE   \* MERGEFORMAT </w:instrText>
        </w:r>
        <w:r>
          <w:rPr>
            <w:rFonts w:ascii="Batang" w:eastAsia="Batang"/>
            <w:sz w:val="28"/>
            <w:szCs w:val="28"/>
          </w:rPr>
          <w:fldChar w:fldCharType="separate"/>
        </w:r>
        <w:r w:rsidR="00CC00C6" w:rsidRPr="00CC00C6">
          <w:rPr>
            <w:rFonts w:ascii="Batang" w:eastAsia="Batang"/>
            <w:noProof/>
            <w:sz w:val="28"/>
            <w:szCs w:val="28"/>
            <w:lang w:val="zh-CN"/>
          </w:rPr>
          <w:t>-</w:t>
        </w:r>
        <w:r w:rsidR="00CC00C6">
          <w:rPr>
            <w:rFonts w:ascii="Batang" w:eastAsia="Batang"/>
            <w:noProof/>
            <w:sz w:val="28"/>
            <w:szCs w:val="28"/>
          </w:rPr>
          <w:t xml:space="preserve"> 11 -</w:t>
        </w:r>
        <w:r>
          <w:rPr>
            <w:rFonts w:ascii="Batang" w:eastAsia="Batang"/>
            <w:sz w:val="28"/>
            <w:szCs w:val="28"/>
          </w:rPr>
          <w:fldChar w:fldCharType="end"/>
        </w:r>
      </w:p>
    </w:sdtContent>
  </w:sdt>
  <w:p w:rsidR="00AD6E7E" w:rsidRDefault="00AD6E7E">
    <w:pPr>
      <w:pStyle w:val="a4"/>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350343"/>
      <w:docPartObj>
        <w:docPartGallery w:val="Page Numbers (Bottom of Page)"/>
        <w:docPartUnique/>
      </w:docPartObj>
    </w:sdtPr>
    <w:sdtContent>
      <w:p w:rsidR="00AD6E7E" w:rsidRDefault="00E82546" w:rsidP="00737512">
        <w:pPr>
          <w:pStyle w:val="a7"/>
          <w:jc w:val="right"/>
        </w:pPr>
        <w:r w:rsidRPr="00737512">
          <w:rPr>
            <w:rFonts w:ascii="Batang" w:eastAsia="Batang" w:hAnsi="Batang"/>
            <w:sz w:val="28"/>
            <w:szCs w:val="28"/>
          </w:rPr>
          <w:fldChar w:fldCharType="begin"/>
        </w:r>
        <w:r w:rsidR="00737512" w:rsidRPr="00737512">
          <w:rPr>
            <w:rFonts w:ascii="Batang" w:eastAsia="Batang" w:hAnsi="Batang"/>
            <w:sz w:val="28"/>
            <w:szCs w:val="28"/>
          </w:rPr>
          <w:instrText xml:space="preserve"> PAGE   \* MERGEFORMAT </w:instrText>
        </w:r>
        <w:r w:rsidRPr="00737512">
          <w:rPr>
            <w:rFonts w:ascii="Batang" w:eastAsia="Batang" w:hAnsi="Batang"/>
            <w:sz w:val="28"/>
            <w:szCs w:val="28"/>
          </w:rPr>
          <w:fldChar w:fldCharType="separate"/>
        </w:r>
        <w:r w:rsidR="00CC00C6" w:rsidRPr="00CC00C6">
          <w:rPr>
            <w:rFonts w:ascii="Batang" w:eastAsia="Batang" w:hAnsi="Batang"/>
            <w:noProof/>
            <w:sz w:val="28"/>
            <w:szCs w:val="28"/>
            <w:lang w:val="zh-CN"/>
          </w:rPr>
          <w:t>-</w:t>
        </w:r>
        <w:r w:rsidR="00CC00C6">
          <w:rPr>
            <w:rFonts w:ascii="Batang" w:eastAsia="Batang" w:hAnsi="Batang"/>
            <w:noProof/>
            <w:sz w:val="28"/>
            <w:szCs w:val="28"/>
          </w:rPr>
          <w:t xml:space="preserve"> 13 -</w:t>
        </w:r>
        <w:r w:rsidRPr="00737512">
          <w:rPr>
            <w:rFonts w:ascii="Batang" w:eastAsia="Batang" w:hAnsi="Batang"/>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7BE" w:rsidRDefault="001147BE" w:rsidP="00FE38DB">
      <w:r>
        <w:separator/>
      </w:r>
    </w:p>
  </w:footnote>
  <w:footnote w:type="continuationSeparator" w:id="0">
    <w:p w:rsidR="001147BE" w:rsidRDefault="001147BE" w:rsidP="00FE3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DDE842"/>
    <w:multiLevelType w:val="singleLevel"/>
    <w:tmpl w:val="81DDE842"/>
    <w:lvl w:ilvl="0">
      <w:start w:val="1"/>
      <w:numFmt w:val="decimal"/>
      <w:lvlText w:val="%1."/>
      <w:lvlJc w:val="left"/>
      <w:pPr>
        <w:tabs>
          <w:tab w:val="left" w:pos="312"/>
        </w:tabs>
      </w:pPr>
    </w:lvl>
  </w:abstractNum>
  <w:abstractNum w:abstractNumId="1">
    <w:nsid w:val="AEE331B8"/>
    <w:multiLevelType w:val="singleLevel"/>
    <w:tmpl w:val="AEE331B8"/>
    <w:lvl w:ilvl="0">
      <w:start w:val="1"/>
      <w:numFmt w:val="decimal"/>
      <w:lvlText w:val="%1."/>
      <w:lvlJc w:val="left"/>
      <w:pPr>
        <w:tabs>
          <w:tab w:val="left" w:pos="312"/>
        </w:tabs>
      </w:pPr>
    </w:lvl>
  </w:abstractNum>
  <w:abstractNum w:abstractNumId="2">
    <w:nsid w:val="BD86F587"/>
    <w:multiLevelType w:val="singleLevel"/>
    <w:tmpl w:val="BD86F587"/>
    <w:lvl w:ilvl="0">
      <w:start w:val="1"/>
      <w:numFmt w:val="decimal"/>
      <w:lvlText w:val="%1."/>
      <w:lvlJc w:val="left"/>
      <w:pPr>
        <w:tabs>
          <w:tab w:val="left" w:pos="312"/>
        </w:tabs>
      </w:pPr>
    </w:lvl>
  </w:abstractNum>
  <w:abstractNum w:abstractNumId="3">
    <w:nsid w:val="D4220B6E"/>
    <w:multiLevelType w:val="singleLevel"/>
    <w:tmpl w:val="D4220B6E"/>
    <w:lvl w:ilvl="0">
      <w:start w:val="1"/>
      <w:numFmt w:val="decimal"/>
      <w:lvlText w:val="%1."/>
      <w:lvlJc w:val="left"/>
      <w:pPr>
        <w:tabs>
          <w:tab w:val="left" w:pos="312"/>
        </w:tabs>
      </w:pPr>
    </w:lvl>
  </w:abstractNum>
  <w:abstractNum w:abstractNumId="4">
    <w:nsid w:val="D99A6AFE"/>
    <w:multiLevelType w:val="singleLevel"/>
    <w:tmpl w:val="D99A6AFE"/>
    <w:lvl w:ilvl="0">
      <w:start w:val="1"/>
      <w:numFmt w:val="decimal"/>
      <w:lvlText w:val="%1."/>
      <w:lvlJc w:val="left"/>
      <w:pPr>
        <w:tabs>
          <w:tab w:val="left" w:pos="312"/>
        </w:tabs>
      </w:pPr>
    </w:lvl>
  </w:abstractNum>
  <w:abstractNum w:abstractNumId="5">
    <w:nsid w:val="DC2F4CA3"/>
    <w:multiLevelType w:val="singleLevel"/>
    <w:tmpl w:val="DC2F4CA3"/>
    <w:lvl w:ilvl="0">
      <w:start w:val="1"/>
      <w:numFmt w:val="decimal"/>
      <w:lvlText w:val="%1."/>
      <w:lvlJc w:val="left"/>
      <w:pPr>
        <w:tabs>
          <w:tab w:val="left" w:pos="312"/>
        </w:tabs>
      </w:pPr>
    </w:lvl>
  </w:abstractNum>
  <w:abstractNum w:abstractNumId="6">
    <w:nsid w:val="E793B8F1"/>
    <w:multiLevelType w:val="singleLevel"/>
    <w:tmpl w:val="E793B8F1"/>
    <w:lvl w:ilvl="0">
      <w:start w:val="1"/>
      <w:numFmt w:val="decimal"/>
      <w:lvlText w:val="%1."/>
      <w:lvlJc w:val="left"/>
      <w:pPr>
        <w:tabs>
          <w:tab w:val="left" w:pos="312"/>
        </w:tabs>
      </w:pPr>
    </w:lvl>
  </w:abstractNum>
  <w:abstractNum w:abstractNumId="7">
    <w:nsid w:val="F4EF19A2"/>
    <w:multiLevelType w:val="singleLevel"/>
    <w:tmpl w:val="F4EF19A2"/>
    <w:lvl w:ilvl="0">
      <w:start w:val="1"/>
      <w:numFmt w:val="decimal"/>
      <w:lvlText w:val="%1."/>
      <w:lvlJc w:val="left"/>
      <w:pPr>
        <w:tabs>
          <w:tab w:val="left" w:pos="312"/>
        </w:tabs>
      </w:pPr>
    </w:lvl>
  </w:abstractNum>
  <w:abstractNum w:abstractNumId="8">
    <w:nsid w:val="134DCFDA"/>
    <w:multiLevelType w:val="singleLevel"/>
    <w:tmpl w:val="134DCFDA"/>
    <w:lvl w:ilvl="0">
      <w:start w:val="1"/>
      <w:numFmt w:val="decimal"/>
      <w:lvlText w:val="%1."/>
      <w:lvlJc w:val="left"/>
      <w:pPr>
        <w:tabs>
          <w:tab w:val="left" w:pos="312"/>
        </w:tabs>
      </w:pPr>
    </w:lvl>
  </w:abstractNum>
  <w:abstractNum w:abstractNumId="9">
    <w:nsid w:val="30C8FD88"/>
    <w:multiLevelType w:val="singleLevel"/>
    <w:tmpl w:val="30C8FD88"/>
    <w:lvl w:ilvl="0">
      <w:start w:val="1"/>
      <w:numFmt w:val="decimal"/>
      <w:lvlText w:val="%1."/>
      <w:lvlJc w:val="left"/>
      <w:pPr>
        <w:tabs>
          <w:tab w:val="left" w:pos="312"/>
        </w:tabs>
      </w:pPr>
    </w:lvl>
  </w:abstractNum>
  <w:abstractNum w:abstractNumId="10">
    <w:nsid w:val="337CF099"/>
    <w:multiLevelType w:val="singleLevel"/>
    <w:tmpl w:val="337CF099"/>
    <w:lvl w:ilvl="0">
      <w:start w:val="1"/>
      <w:numFmt w:val="decimal"/>
      <w:lvlText w:val="%1."/>
      <w:lvlJc w:val="left"/>
      <w:pPr>
        <w:tabs>
          <w:tab w:val="left" w:pos="312"/>
        </w:tabs>
      </w:pPr>
    </w:lvl>
  </w:abstractNum>
  <w:abstractNum w:abstractNumId="11">
    <w:nsid w:val="66EA17F5"/>
    <w:multiLevelType w:val="singleLevel"/>
    <w:tmpl w:val="66EA17F5"/>
    <w:lvl w:ilvl="0">
      <w:start w:val="1"/>
      <w:numFmt w:val="decimal"/>
      <w:lvlText w:val="%1."/>
      <w:lvlJc w:val="left"/>
      <w:pPr>
        <w:tabs>
          <w:tab w:val="left" w:pos="312"/>
        </w:tabs>
      </w:pPr>
    </w:lvl>
  </w:abstractNum>
  <w:abstractNum w:abstractNumId="12">
    <w:nsid w:val="6B5D3860"/>
    <w:multiLevelType w:val="singleLevel"/>
    <w:tmpl w:val="6B5D3860"/>
    <w:lvl w:ilvl="0">
      <w:start w:val="1"/>
      <w:numFmt w:val="decimal"/>
      <w:lvlText w:val="%1."/>
      <w:lvlJc w:val="left"/>
      <w:pPr>
        <w:tabs>
          <w:tab w:val="left" w:pos="312"/>
        </w:tabs>
      </w:pPr>
    </w:lvl>
  </w:abstractNum>
  <w:abstractNum w:abstractNumId="13">
    <w:nsid w:val="6DD49A74"/>
    <w:multiLevelType w:val="singleLevel"/>
    <w:tmpl w:val="6DD49A74"/>
    <w:lvl w:ilvl="0">
      <w:start w:val="1"/>
      <w:numFmt w:val="decimal"/>
      <w:lvlText w:val="%1."/>
      <w:lvlJc w:val="left"/>
      <w:pPr>
        <w:tabs>
          <w:tab w:val="left" w:pos="312"/>
        </w:tabs>
      </w:pPr>
    </w:lvl>
  </w:abstractNum>
  <w:abstractNum w:abstractNumId="14">
    <w:nsid w:val="70D4A03B"/>
    <w:multiLevelType w:val="singleLevel"/>
    <w:tmpl w:val="70D4A03B"/>
    <w:lvl w:ilvl="0">
      <w:start w:val="1"/>
      <w:numFmt w:val="decimal"/>
      <w:lvlText w:val="%1."/>
      <w:lvlJc w:val="left"/>
      <w:pPr>
        <w:tabs>
          <w:tab w:val="left" w:pos="312"/>
        </w:tabs>
      </w:pPr>
    </w:lvl>
  </w:abstractNum>
  <w:abstractNum w:abstractNumId="15">
    <w:nsid w:val="7C743711"/>
    <w:multiLevelType w:val="singleLevel"/>
    <w:tmpl w:val="66EA17F5"/>
    <w:lvl w:ilvl="0">
      <w:start w:val="1"/>
      <w:numFmt w:val="decimal"/>
      <w:lvlText w:val="%1."/>
      <w:lvlJc w:val="left"/>
      <w:pPr>
        <w:tabs>
          <w:tab w:val="left" w:pos="312"/>
        </w:tabs>
      </w:pPr>
    </w:lvl>
  </w:abstractNum>
  <w:num w:numId="1">
    <w:abstractNumId w:val="14"/>
  </w:num>
  <w:num w:numId="2">
    <w:abstractNumId w:val="12"/>
  </w:num>
  <w:num w:numId="3">
    <w:abstractNumId w:val="5"/>
  </w:num>
  <w:num w:numId="4">
    <w:abstractNumId w:val="11"/>
  </w:num>
  <w:num w:numId="5">
    <w:abstractNumId w:val="10"/>
  </w:num>
  <w:num w:numId="6">
    <w:abstractNumId w:val="8"/>
  </w:num>
  <w:num w:numId="7">
    <w:abstractNumId w:val="7"/>
  </w:num>
  <w:num w:numId="8">
    <w:abstractNumId w:val="0"/>
  </w:num>
  <w:num w:numId="9">
    <w:abstractNumId w:val="9"/>
  </w:num>
  <w:num w:numId="10">
    <w:abstractNumId w:val="3"/>
  </w:num>
  <w:num w:numId="11">
    <w:abstractNumId w:val="13"/>
  </w:num>
  <w:num w:numId="12">
    <w:abstractNumId w:val="6"/>
  </w:num>
  <w:num w:numId="13">
    <w:abstractNumId w:val="1"/>
  </w:num>
  <w:num w:numId="14">
    <w:abstractNumId w:val="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E38DB"/>
    <w:rsid w:val="0004213E"/>
    <w:rsid w:val="000B1F55"/>
    <w:rsid w:val="000B5AA8"/>
    <w:rsid w:val="000F653F"/>
    <w:rsid w:val="001147BE"/>
    <w:rsid w:val="00184955"/>
    <w:rsid w:val="002160EC"/>
    <w:rsid w:val="0022553E"/>
    <w:rsid w:val="00240096"/>
    <w:rsid w:val="00252855"/>
    <w:rsid w:val="0029698F"/>
    <w:rsid w:val="002B1E3D"/>
    <w:rsid w:val="002F4B27"/>
    <w:rsid w:val="00350EE6"/>
    <w:rsid w:val="003745A0"/>
    <w:rsid w:val="00384B08"/>
    <w:rsid w:val="003A44D5"/>
    <w:rsid w:val="003B1977"/>
    <w:rsid w:val="0054562C"/>
    <w:rsid w:val="005C6E64"/>
    <w:rsid w:val="005D7ABC"/>
    <w:rsid w:val="00600695"/>
    <w:rsid w:val="00642373"/>
    <w:rsid w:val="00667159"/>
    <w:rsid w:val="006F6663"/>
    <w:rsid w:val="00737512"/>
    <w:rsid w:val="007633CD"/>
    <w:rsid w:val="007848B9"/>
    <w:rsid w:val="00787761"/>
    <w:rsid w:val="007A56D2"/>
    <w:rsid w:val="007A7AD7"/>
    <w:rsid w:val="007E2B75"/>
    <w:rsid w:val="00823CCF"/>
    <w:rsid w:val="008D6909"/>
    <w:rsid w:val="009857EF"/>
    <w:rsid w:val="009912B0"/>
    <w:rsid w:val="00A46E3E"/>
    <w:rsid w:val="00A513D3"/>
    <w:rsid w:val="00A668F2"/>
    <w:rsid w:val="00AB3FC2"/>
    <w:rsid w:val="00AB6138"/>
    <w:rsid w:val="00AD6E7E"/>
    <w:rsid w:val="00AE47C2"/>
    <w:rsid w:val="00B6540E"/>
    <w:rsid w:val="00B75319"/>
    <w:rsid w:val="00C25862"/>
    <w:rsid w:val="00C4284A"/>
    <w:rsid w:val="00CC00C6"/>
    <w:rsid w:val="00D94DBC"/>
    <w:rsid w:val="00E333C7"/>
    <w:rsid w:val="00E749DC"/>
    <w:rsid w:val="00E82546"/>
    <w:rsid w:val="00EF5D7C"/>
    <w:rsid w:val="00F933CF"/>
    <w:rsid w:val="00FB7D17"/>
    <w:rsid w:val="00FE3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38DB"/>
    <w:pPr>
      <w:widowControl w:val="0"/>
      <w:jc w:val="both"/>
    </w:pPr>
    <w:rPr>
      <w:rFonts w:ascii="Calibri" w:hAnsi="Calibri" w:cs="Arial"/>
      <w:bCs/>
      <w:kern w:val="2"/>
      <w:sz w:val="21"/>
      <w:szCs w:val="22"/>
    </w:rPr>
  </w:style>
  <w:style w:type="paragraph" w:styleId="1">
    <w:name w:val="heading 1"/>
    <w:basedOn w:val="a"/>
    <w:next w:val="a"/>
    <w:rsid w:val="00FE38DB"/>
    <w:pPr>
      <w:keepNext/>
      <w:keepLines/>
      <w:spacing w:before="340" w:after="330" w:line="578" w:lineRule="auto"/>
      <w:outlineLvl w:val="0"/>
    </w:pPr>
    <w:rPr>
      <w:b/>
      <w:kern w:val="44"/>
      <w:sz w:val="44"/>
    </w:rPr>
  </w:style>
  <w:style w:type="paragraph" w:styleId="2">
    <w:name w:val="heading 2"/>
    <w:basedOn w:val="a"/>
    <w:next w:val="a"/>
    <w:rsid w:val="00FE38DB"/>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FE38DB"/>
    <w:pPr>
      <w:keepNext/>
      <w:keepLines/>
      <w:spacing w:line="580" w:lineRule="exact"/>
      <w:outlineLvl w:val="2"/>
    </w:pPr>
    <w:rPr>
      <w:rFonts w:eastAsia="方正楷体_GB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rsid w:val="00FE38DB"/>
    <w:pPr>
      <w:ind w:firstLineChars="200" w:firstLine="200"/>
    </w:pPr>
  </w:style>
  <w:style w:type="paragraph" w:styleId="a4">
    <w:name w:val="Body Text"/>
    <w:basedOn w:val="a"/>
    <w:next w:val="a"/>
    <w:rsid w:val="00FE38DB"/>
    <w:rPr>
      <w:rFonts w:ascii="仿宋" w:eastAsia="仿宋" w:cs="仿宋"/>
      <w:sz w:val="32"/>
      <w:szCs w:val="32"/>
      <w:lang w:val="zh-CN" w:bidi="zh-CN"/>
    </w:rPr>
  </w:style>
  <w:style w:type="paragraph" w:styleId="a5">
    <w:name w:val="Body Text Indent"/>
    <w:basedOn w:val="a"/>
    <w:next w:val="a3"/>
    <w:rsid w:val="00FE38DB"/>
    <w:pPr>
      <w:ind w:leftChars="200" w:left="200"/>
    </w:pPr>
  </w:style>
  <w:style w:type="paragraph" w:styleId="a6">
    <w:name w:val="Balloon Text"/>
    <w:basedOn w:val="a"/>
    <w:rsid w:val="00FE38DB"/>
    <w:rPr>
      <w:sz w:val="18"/>
      <w:szCs w:val="18"/>
    </w:rPr>
  </w:style>
  <w:style w:type="paragraph" w:styleId="a7">
    <w:name w:val="footer"/>
    <w:basedOn w:val="a"/>
    <w:link w:val="Char"/>
    <w:uiPriority w:val="99"/>
    <w:rsid w:val="00FE38DB"/>
    <w:pPr>
      <w:tabs>
        <w:tab w:val="center" w:pos="4153"/>
        <w:tab w:val="right" w:pos="8306"/>
      </w:tabs>
      <w:snapToGrid w:val="0"/>
      <w:jc w:val="left"/>
    </w:pPr>
    <w:rPr>
      <w:sz w:val="18"/>
      <w:szCs w:val="18"/>
    </w:rPr>
  </w:style>
  <w:style w:type="paragraph" w:styleId="a8">
    <w:name w:val="header"/>
    <w:basedOn w:val="a"/>
    <w:rsid w:val="00FE38DB"/>
    <w:pPr>
      <w:tabs>
        <w:tab w:val="center" w:pos="4153"/>
        <w:tab w:val="right" w:pos="8306"/>
      </w:tabs>
      <w:snapToGrid w:val="0"/>
    </w:pPr>
    <w:rPr>
      <w:sz w:val="18"/>
    </w:rPr>
  </w:style>
  <w:style w:type="paragraph" w:styleId="a9">
    <w:name w:val="Body Text First Indent"/>
    <w:basedOn w:val="a4"/>
    <w:next w:val="20"/>
    <w:rsid w:val="00FE38DB"/>
    <w:pPr>
      <w:ind w:firstLineChars="100" w:firstLine="100"/>
    </w:pPr>
  </w:style>
  <w:style w:type="paragraph" w:styleId="20">
    <w:name w:val="Body Text First Indent 2"/>
    <w:basedOn w:val="a5"/>
    <w:next w:val="a9"/>
    <w:rsid w:val="00FE38DB"/>
    <w:pPr>
      <w:ind w:firstLineChars="200" w:firstLine="200"/>
    </w:pPr>
  </w:style>
  <w:style w:type="paragraph" w:customStyle="1" w:styleId="10">
    <w:name w:val="样式1"/>
    <w:basedOn w:val="a"/>
    <w:rsid w:val="00FE38DB"/>
    <w:rPr>
      <w:b/>
      <w:color w:val="538135"/>
      <w:sz w:val="28"/>
    </w:rPr>
  </w:style>
  <w:style w:type="paragraph" w:customStyle="1" w:styleId="aa">
    <w:name w:val="主送单位"/>
    <w:basedOn w:val="a"/>
    <w:rsid w:val="00350EE6"/>
    <w:pPr>
      <w:widowControl/>
      <w:autoSpaceDE w:val="0"/>
      <w:autoSpaceDN w:val="0"/>
      <w:adjustRightInd w:val="0"/>
      <w:spacing w:line="560" w:lineRule="exact"/>
    </w:pPr>
    <w:rPr>
      <w:rFonts w:ascii="溘冼_GB2312" w:eastAsia="溘冼_GB2312" w:hAnsi="Times New Roman" w:cs="Times New Roman"/>
      <w:bCs w:val="0"/>
      <w:spacing w:val="-4"/>
      <w:kern w:val="0"/>
      <w:sz w:val="32"/>
      <w:szCs w:val="20"/>
    </w:rPr>
  </w:style>
  <w:style w:type="table" w:styleId="ab">
    <w:name w:val="Table Grid"/>
    <w:basedOn w:val="a1"/>
    <w:qFormat/>
    <w:rsid w:val="000421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b"/>
    <w:uiPriority w:val="39"/>
    <w:rsid w:val="008D690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7"/>
    <w:uiPriority w:val="99"/>
    <w:rsid w:val="00384B08"/>
    <w:rPr>
      <w:rFonts w:ascii="Calibri" w:hAnsi="Calibri" w:cs="Arial"/>
      <w:bCs/>
      <w:kern w:val="2"/>
      <w:sz w:val="18"/>
      <w:szCs w:val="18"/>
    </w:rPr>
  </w:style>
  <w:style w:type="paragraph" w:customStyle="1" w:styleId="BodyText1I">
    <w:name w:val="BodyText1I"/>
    <w:basedOn w:val="a"/>
    <w:qFormat/>
    <w:rsid w:val="00384B08"/>
    <w:pPr>
      <w:ind w:firstLineChars="200" w:firstLine="200"/>
      <w:textAlignment w:val="baseline"/>
    </w:pPr>
    <w:rPr>
      <w:rFonts w:ascii="等线" w:eastAsia="等线" w:hAnsi="等线" w:cs="Times New Roman"/>
      <w:bCs w:val="0"/>
      <w:kern w:val="0"/>
      <w:sz w:val="24"/>
    </w:rPr>
  </w:style>
  <w:style w:type="paragraph" w:styleId="ac">
    <w:name w:val="List Paragraph"/>
    <w:basedOn w:val="a"/>
    <w:uiPriority w:val="34"/>
    <w:qFormat/>
    <w:rsid w:val="0022553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13</Pages>
  <Words>1212</Words>
  <Characters>6911</Characters>
  <Application>Microsoft Office Word</Application>
  <DocSecurity>0</DocSecurity>
  <Lines>57</Lines>
  <Paragraphs>16</Paragraphs>
  <ScaleCrop>false</ScaleCrop>
  <Company>Yozosoft</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xbany</cp:lastModifiedBy>
  <cp:revision>14</cp:revision>
  <cp:lastPrinted>2023-02-24T09:01:00Z</cp:lastPrinted>
  <dcterms:created xsi:type="dcterms:W3CDTF">2023-02-24T04:44:00Z</dcterms:created>
  <dcterms:modified xsi:type="dcterms:W3CDTF">2023-02-24T09:34:00Z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