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216" w:tblpY="251"/>
        <w:tblOverlap w:val="never"/>
        <w:tblW w:w="14613" w:type="dxa"/>
        <w:tblInd w:w="0" w:type="dxa"/>
        <w:tblLayout w:type="autofit"/>
        <w:tblCellMar>
          <w:top w:w="0" w:type="dxa"/>
          <w:left w:w="108" w:type="dxa"/>
          <w:bottom w:w="0" w:type="dxa"/>
          <w:right w:w="108" w:type="dxa"/>
        </w:tblCellMar>
      </w:tblPr>
      <w:tblGrid>
        <w:gridCol w:w="876"/>
        <w:gridCol w:w="2221"/>
        <w:gridCol w:w="3078"/>
        <w:gridCol w:w="8438"/>
      </w:tblGrid>
      <w:tr>
        <w:tblPrEx>
          <w:tblCellMar>
            <w:top w:w="0" w:type="dxa"/>
            <w:left w:w="108" w:type="dxa"/>
            <w:bottom w:w="0" w:type="dxa"/>
            <w:right w:w="108" w:type="dxa"/>
          </w:tblCellMar>
        </w:tblPrEx>
        <w:trPr>
          <w:trHeight w:val="90" w:hRule="atLeast"/>
        </w:trPr>
        <w:tc>
          <w:tcPr>
            <w:tcW w:w="14613" w:type="dxa"/>
            <w:gridSpan w:val="4"/>
            <w:tcBorders>
              <w:top w:val="nil"/>
              <w:left w:val="nil"/>
              <w:bottom w:val="single" w:color="auto" w:sz="4" w:space="0"/>
              <w:right w:val="nil"/>
            </w:tcBorders>
            <w:shd w:val="clear" w:color="auto" w:fill="auto"/>
            <w:vAlign w:val="center"/>
          </w:tcPr>
          <w:p>
            <w:pPr>
              <w:widowControl/>
              <w:jc w:val="left"/>
              <w:rPr>
                <w:rFonts w:ascii="黑体" w:hAnsi="黑体" w:eastAsia="黑体" w:cs="宋体"/>
                <w:bCs/>
                <w:kern w:val="0"/>
                <w:sz w:val="32"/>
                <w:szCs w:val="32"/>
              </w:rPr>
            </w:pPr>
            <w:bookmarkStart w:id="1" w:name="_GoBack"/>
            <w:bookmarkEnd w:id="1"/>
            <w:r>
              <w:rPr>
                <w:rFonts w:hint="eastAsia" w:ascii="黑体" w:hAnsi="黑体" w:eastAsia="黑体" w:cs="宋体"/>
                <w:bCs/>
                <w:kern w:val="0"/>
                <w:sz w:val="32"/>
                <w:szCs w:val="32"/>
              </w:rPr>
              <w:t>附件</w:t>
            </w:r>
          </w:p>
          <w:p>
            <w:pPr>
              <w:widowControl/>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44"/>
                <w:szCs w:val="44"/>
              </w:rPr>
              <w:t>连云港市安全生产轻微违法行为不予行政处罚事项清单</w:t>
            </w:r>
          </w:p>
        </w:tc>
      </w:tr>
      <w:tr>
        <w:tblPrEx>
          <w:tblCellMar>
            <w:top w:w="0" w:type="dxa"/>
            <w:left w:w="108" w:type="dxa"/>
            <w:bottom w:w="0" w:type="dxa"/>
            <w:right w:w="108" w:type="dxa"/>
          </w:tblCellMar>
        </w:tblPrEx>
        <w:trPr>
          <w:trHeight w:val="270"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序号</w:t>
            </w:r>
          </w:p>
        </w:tc>
        <w:tc>
          <w:tcPr>
            <w:tcW w:w="22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违法行为种类</w:t>
            </w:r>
          </w:p>
        </w:tc>
        <w:tc>
          <w:tcPr>
            <w:tcW w:w="3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适用条件</w:t>
            </w:r>
          </w:p>
        </w:tc>
        <w:tc>
          <w:tcPr>
            <w:tcW w:w="84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相应法律规定</w:t>
            </w:r>
          </w:p>
        </w:tc>
      </w:tr>
      <w:tr>
        <w:tblPrEx>
          <w:tblCellMar>
            <w:top w:w="0" w:type="dxa"/>
            <w:left w:w="108" w:type="dxa"/>
            <w:bottom w:w="0" w:type="dxa"/>
            <w:right w:w="108" w:type="dxa"/>
          </w:tblCellMar>
        </w:tblPrEx>
        <w:trPr>
          <w:trHeight w:val="301"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4"/>
                <w:lang w:eastAsia="zh-CN"/>
              </w:rPr>
            </w:pPr>
            <w:r>
              <w:rPr>
                <w:rFonts w:hint="eastAsia" w:ascii="Times New Roman" w:hAnsi="Times New Roman" w:eastAsia="宋体" w:cs="Times New Roman"/>
                <w:kern w:val="0"/>
                <w:sz w:val="22"/>
                <w:szCs w:val="24"/>
                <w:lang w:val="en-US" w:eastAsia="zh-CN"/>
              </w:rPr>
              <w:t>1</w:t>
            </w:r>
          </w:p>
        </w:tc>
        <w:tc>
          <w:tcPr>
            <w:tcW w:w="222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生产经营单位未向从业人员通报事故隐患排查治理情况的</w:t>
            </w:r>
          </w:p>
        </w:tc>
        <w:tc>
          <w:tcPr>
            <w:tcW w:w="307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一般行业生产经营单位开展了隐患排查治理工作，但未向从业人员通报（重大事故隐患除外），属于首次被发现并及时纠正，没有造成危害后果的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Times New Roman" w:hAnsi="Times New Roman" w:eastAsia="宋体" w:cs="Times New Roman"/>
                <w:b/>
                <w:kern w:val="0"/>
                <w:szCs w:val="21"/>
              </w:rPr>
              <w:t xml:space="preserve">《中华人民共和国安全生产法》 </w:t>
            </w:r>
            <w:r>
              <w:rPr>
                <w:rFonts w:hint="eastAsia" w:ascii="宋体" w:hAnsi="宋体" w:eastAsia="宋体" w:cs="Times New Roman"/>
                <w:kern w:val="0"/>
                <w:szCs w:val="21"/>
              </w:rPr>
              <w:t>第九十七条：</w:t>
            </w:r>
            <w:r>
              <w:rPr>
                <w:rFonts w:ascii="Calibri" w:hAnsi="Calibri" w:eastAsia="宋体" w:cs="Times New Roman"/>
                <w:kern w:val="0"/>
                <w:szCs w:val="21"/>
              </w:rPr>
              <w:t>“</w:t>
            </w:r>
            <w:r>
              <w:rPr>
                <w:rFonts w:hint="eastAsia" w:ascii="宋体" w:hAnsi="宋体" w:eastAsia="宋体" w:cs="Times New Roman"/>
                <w:kern w:val="0"/>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kern w:val="0"/>
                <w:szCs w:val="21"/>
              </w:rPr>
              <w:t>：</w:t>
            </w:r>
            <w:r>
              <w:rPr>
                <w:rFonts w:ascii="Calibri" w:hAnsi="Calibri" w:eastAsia="宋体" w:cs="Times New Roman"/>
                <w:kern w:val="0"/>
                <w:szCs w:val="21"/>
              </w:rPr>
              <w:t>……(</w:t>
            </w:r>
            <w:r>
              <w:rPr>
                <w:rFonts w:hint="eastAsia" w:ascii="宋体" w:hAnsi="宋体" w:eastAsia="宋体" w:cs="宋体"/>
                <w:kern w:val="0"/>
                <w:szCs w:val="21"/>
              </w:rPr>
              <w:t>五</w:t>
            </w:r>
            <w:r>
              <w:rPr>
                <w:rFonts w:ascii="Calibri" w:hAnsi="Calibri" w:eastAsia="宋体" w:cs="Times New Roman"/>
                <w:kern w:val="0"/>
                <w:szCs w:val="21"/>
              </w:rPr>
              <w:t>)</w:t>
            </w:r>
            <w:r>
              <w:rPr>
                <w:rFonts w:hint="eastAsia" w:ascii="宋体" w:hAnsi="宋体" w:eastAsia="宋体" w:cs="宋体"/>
                <w:kern w:val="0"/>
                <w:szCs w:val="21"/>
              </w:rPr>
              <w:t>未将事故隐患排查治理情况如实记录或者未向从业人员通报的</w:t>
            </w:r>
            <w:r>
              <w:rPr>
                <w:rFonts w:ascii="Calibri" w:hAnsi="Calibri" w:eastAsia="宋体" w:cs="Times New Roman"/>
                <w:kern w:val="0"/>
                <w:szCs w:val="21"/>
              </w:rPr>
              <w:t>;……”</w:t>
            </w:r>
          </w:p>
        </w:tc>
      </w:tr>
      <w:tr>
        <w:tblPrEx>
          <w:tblCellMar>
            <w:top w:w="0" w:type="dxa"/>
            <w:left w:w="108" w:type="dxa"/>
            <w:bottom w:w="0" w:type="dxa"/>
            <w:right w:w="108" w:type="dxa"/>
          </w:tblCellMar>
        </w:tblPrEx>
        <w:trPr>
          <w:trHeight w:val="1385"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4"/>
                <w:lang w:eastAsia="zh-CN"/>
              </w:rPr>
            </w:pPr>
            <w:r>
              <w:rPr>
                <w:rFonts w:hint="eastAsia" w:ascii="Times New Roman" w:hAnsi="Times New Roman" w:eastAsia="宋体" w:cs="Times New Roman"/>
                <w:kern w:val="0"/>
                <w:sz w:val="22"/>
                <w:szCs w:val="24"/>
                <w:lang w:val="en-US" w:eastAsia="zh-CN"/>
              </w:rPr>
              <w:t>2</w:t>
            </w:r>
          </w:p>
        </w:tc>
        <w:tc>
          <w:tcPr>
            <w:tcW w:w="222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生产经营单位在应急预案编制前未按照规定开展风险辨识、评估和应急资源调查的</w:t>
            </w:r>
          </w:p>
        </w:tc>
        <w:tc>
          <w:tcPr>
            <w:tcW w:w="307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Times New Roman" w:hAnsi="Times New Roman" w:eastAsia="宋体" w:cs="Times New Roman"/>
                <w:b/>
                <w:kern w:val="0"/>
                <w:szCs w:val="21"/>
              </w:rPr>
              <w:t>《生产安全事故应急预案管理办法》</w:t>
            </w:r>
            <w:r>
              <w:rPr>
                <w:rFonts w:hint="eastAsia" w:ascii="宋体" w:hAnsi="宋体" w:eastAsia="宋体" w:cs="宋体"/>
                <w:kern w:val="0"/>
                <w:szCs w:val="21"/>
              </w:rPr>
              <w:t>（</w:t>
            </w:r>
            <w:r>
              <w:rPr>
                <w:rFonts w:hint="eastAsia" w:ascii="宋体" w:hAnsi="宋体" w:eastAsia="宋体" w:cs="Times New Roman"/>
                <w:kern w:val="0"/>
                <w:szCs w:val="21"/>
              </w:rPr>
              <w:t>（原国家安全监管总局令第</w:t>
            </w:r>
            <w:r>
              <w:rPr>
                <w:rFonts w:ascii="Times New Roman" w:hAnsi="Times New Roman" w:eastAsia="宋体" w:cs="Times New Roman"/>
                <w:kern w:val="0"/>
                <w:szCs w:val="21"/>
              </w:rPr>
              <w:t>88</w:t>
            </w:r>
            <w:r>
              <w:rPr>
                <w:rFonts w:hint="eastAsia" w:ascii="宋体" w:hAnsi="宋体" w:eastAsia="宋体" w:cs="Times New Roman"/>
                <w:kern w:val="0"/>
                <w:szCs w:val="21"/>
              </w:rPr>
              <w:t>号令，应急管理部令第</w:t>
            </w:r>
            <w:r>
              <w:rPr>
                <w:rFonts w:ascii="Times New Roman" w:hAnsi="Times New Roman" w:eastAsia="宋体" w:cs="Times New Roman"/>
                <w:kern w:val="0"/>
                <w:szCs w:val="21"/>
              </w:rPr>
              <w:t>2</w:t>
            </w:r>
            <w:r>
              <w:rPr>
                <w:rFonts w:hint="eastAsia" w:ascii="宋体" w:hAnsi="宋体" w:eastAsia="宋体" w:cs="Times New Roman"/>
                <w:kern w:val="0"/>
                <w:szCs w:val="21"/>
              </w:rPr>
              <w:t>号修正</w:t>
            </w:r>
            <w:r>
              <w:rPr>
                <w:rFonts w:hint="eastAsia" w:ascii="宋体" w:hAnsi="宋体" w:eastAsia="宋体" w:cs="宋体"/>
                <w:kern w:val="0"/>
                <w:szCs w:val="21"/>
              </w:rPr>
              <w:t>）第四十五条：</w:t>
            </w:r>
            <w:r>
              <w:rPr>
                <w:rFonts w:ascii="Calibri" w:hAnsi="Calibri" w:eastAsia="宋体" w:cs="Times New Roman"/>
                <w:kern w:val="0"/>
                <w:szCs w:val="21"/>
              </w:rPr>
              <w:t>“</w:t>
            </w:r>
            <w:r>
              <w:rPr>
                <w:rFonts w:hint="eastAsia" w:ascii="宋体" w:hAnsi="宋体" w:eastAsia="宋体" w:cs="宋体"/>
                <w:kern w:val="0"/>
                <w:szCs w:val="21"/>
              </w:rPr>
              <w:t>生产经营单位有下列情形之一的，由县级以上人民政府应急管理部门责令限期改正，可以处</w:t>
            </w:r>
            <w:r>
              <w:rPr>
                <w:rFonts w:ascii="Times New Roman" w:hAnsi="Times New Roman" w:eastAsia="宋体" w:cs="Times New Roman"/>
                <w:kern w:val="0"/>
                <w:szCs w:val="21"/>
              </w:rPr>
              <w:t>1</w:t>
            </w:r>
            <w:r>
              <w:rPr>
                <w:rFonts w:hint="eastAsia" w:ascii="宋体" w:hAnsi="宋体" w:eastAsia="宋体" w:cs="宋体"/>
                <w:kern w:val="0"/>
                <w:szCs w:val="21"/>
              </w:rPr>
              <w:t>万元以上</w:t>
            </w:r>
            <w:r>
              <w:rPr>
                <w:rFonts w:ascii="Times New Roman" w:hAnsi="Times New Roman" w:eastAsia="宋体" w:cs="Times New Roman"/>
                <w:kern w:val="0"/>
                <w:szCs w:val="21"/>
              </w:rPr>
              <w:t>3</w:t>
            </w:r>
            <w:r>
              <w:rPr>
                <w:rFonts w:hint="eastAsia" w:ascii="宋体" w:hAnsi="宋体" w:eastAsia="宋体" w:cs="宋体"/>
                <w:kern w:val="0"/>
                <w:szCs w:val="21"/>
              </w:rPr>
              <w:t>万元以下的罚款：（一）在应急预案编制前未按照规定开展风险辨识、评估和应急资源调查的</w:t>
            </w:r>
            <w:r>
              <w:rPr>
                <w:rFonts w:ascii="Calibri" w:hAnsi="Calibri" w:eastAsia="宋体" w:cs="Times New Roman"/>
                <w:kern w:val="0"/>
                <w:szCs w:val="21"/>
              </w:rPr>
              <w:t>;……”</w:t>
            </w:r>
          </w:p>
        </w:tc>
      </w:tr>
      <w:tr>
        <w:tblPrEx>
          <w:tblCellMar>
            <w:top w:w="0" w:type="dxa"/>
            <w:left w:w="108" w:type="dxa"/>
            <w:bottom w:w="0" w:type="dxa"/>
            <w:right w:w="108" w:type="dxa"/>
          </w:tblCellMar>
        </w:tblPrEx>
        <w:trPr>
          <w:trHeight w:val="1344"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4"/>
                <w:lang w:eastAsia="zh-CN"/>
              </w:rPr>
            </w:pPr>
            <w:r>
              <w:rPr>
                <w:rFonts w:hint="eastAsia" w:ascii="Times New Roman" w:hAnsi="Times New Roman" w:eastAsia="宋体" w:cs="Times New Roman"/>
                <w:kern w:val="0"/>
                <w:sz w:val="22"/>
                <w:szCs w:val="24"/>
                <w:lang w:val="en-US" w:eastAsia="zh-CN"/>
              </w:rPr>
              <w:t>3</w:t>
            </w:r>
          </w:p>
        </w:tc>
        <w:tc>
          <w:tcPr>
            <w:tcW w:w="222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bookmarkStart w:id="0" w:name="RANGE!B18"/>
            <w:r>
              <w:rPr>
                <w:rFonts w:hint="eastAsia" w:ascii="宋体" w:hAnsi="宋体" w:eastAsia="宋体" w:cs="宋体"/>
                <w:kern w:val="0"/>
                <w:szCs w:val="21"/>
              </w:rPr>
              <w:t>生产经营单位未按照规定开展应急预案评审的</w:t>
            </w:r>
            <w:bookmarkEnd w:id="0"/>
          </w:p>
        </w:tc>
        <w:tc>
          <w:tcPr>
            <w:tcW w:w="307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Times New Roman" w:hAnsi="Times New Roman" w:eastAsia="宋体" w:cs="Times New Roman"/>
                <w:b/>
                <w:kern w:val="0"/>
                <w:szCs w:val="21"/>
              </w:rPr>
              <w:t>《生产安全事故应急预案管理办法》</w:t>
            </w:r>
            <w:r>
              <w:rPr>
                <w:rFonts w:hint="eastAsia" w:ascii="宋体" w:hAnsi="宋体" w:eastAsia="宋体" w:cs="宋体"/>
                <w:kern w:val="0"/>
                <w:szCs w:val="21"/>
              </w:rPr>
              <w:t>（</w:t>
            </w:r>
            <w:r>
              <w:rPr>
                <w:rFonts w:hint="eastAsia" w:ascii="宋体" w:hAnsi="宋体" w:eastAsia="宋体" w:cs="Times New Roman"/>
                <w:kern w:val="0"/>
                <w:szCs w:val="21"/>
              </w:rPr>
              <w:t>（原国家安全监管总局令第</w:t>
            </w:r>
            <w:r>
              <w:rPr>
                <w:rFonts w:ascii="Times New Roman" w:hAnsi="Times New Roman" w:eastAsia="宋体" w:cs="Times New Roman"/>
                <w:kern w:val="0"/>
                <w:szCs w:val="21"/>
              </w:rPr>
              <w:t>88</w:t>
            </w:r>
            <w:r>
              <w:rPr>
                <w:rFonts w:hint="eastAsia" w:ascii="宋体" w:hAnsi="宋体" w:eastAsia="宋体" w:cs="Times New Roman"/>
                <w:kern w:val="0"/>
                <w:szCs w:val="21"/>
              </w:rPr>
              <w:t>号令，应急管理部令第</w:t>
            </w:r>
            <w:r>
              <w:rPr>
                <w:rFonts w:ascii="Times New Roman" w:hAnsi="Times New Roman" w:eastAsia="宋体" w:cs="Times New Roman"/>
                <w:kern w:val="0"/>
                <w:szCs w:val="21"/>
              </w:rPr>
              <w:t>2</w:t>
            </w:r>
            <w:r>
              <w:rPr>
                <w:rFonts w:hint="eastAsia" w:ascii="宋体" w:hAnsi="宋体" w:eastAsia="宋体" w:cs="Times New Roman"/>
                <w:kern w:val="0"/>
                <w:szCs w:val="21"/>
              </w:rPr>
              <w:t>号修正</w:t>
            </w:r>
            <w:r>
              <w:rPr>
                <w:rFonts w:hint="eastAsia" w:ascii="宋体" w:hAnsi="宋体" w:eastAsia="宋体" w:cs="宋体"/>
                <w:kern w:val="0"/>
                <w:szCs w:val="21"/>
              </w:rPr>
              <w:t>）第四十五条：</w:t>
            </w:r>
            <w:r>
              <w:rPr>
                <w:rFonts w:ascii="Calibri" w:hAnsi="Calibri" w:eastAsia="宋体" w:cs="Times New Roman"/>
                <w:kern w:val="0"/>
                <w:szCs w:val="21"/>
              </w:rPr>
              <w:t>“</w:t>
            </w:r>
            <w:r>
              <w:rPr>
                <w:rFonts w:hint="eastAsia" w:ascii="宋体" w:hAnsi="宋体" w:eastAsia="宋体" w:cs="宋体"/>
                <w:kern w:val="0"/>
                <w:szCs w:val="21"/>
              </w:rPr>
              <w:t>生产经营单位有下列情形之一的，由县级以上人民政府应急管理部门责令限期改正，可以处</w:t>
            </w:r>
            <w:r>
              <w:rPr>
                <w:rFonts w:ascii="Times New Roman" w:hAnsi="Times New Roman" w:eastAsia="宋体" w:cs="Times New Roman"/>
                <w:kern w:val="0"/>
                <w:szCs w:val="21"/>
              </w:rPr>
              <w:t>1</w:t>
            </w:r>
            <w:r>
              <w:rPr>
                <w:rFonts w:hint="eastAsia" w:ascii="宋体" w:hAnsi="宋体" w:eastAsia="宋体" w:cs="宋体"/>
                <w:kern w:val="0"/>
                <w:szCs w:val="21"/>
              </w:rPr>
              <w:t>万元以上</w:t>
            </w:r>
            <w:r>
              <w:rPr>
                <w:rFonts w:ascii="Times New Roman" w:hAnsi="Times New Roman" w:eastAsia="宋体" w:cs="Times New Roman"/>
                <w:kern w:val="0"/>
                <w:szCs w:val="21"/>
              </w:rPr>
              <w:t>3</w:t>
            </w:r>
            <w:r>
              <w:rPr>
                <w:rFonts w:hint="eastAsia" w:ascii="宋体" w:hAnsi="宋体" w:eastAsia="宋体" w:cs="宋体"/>
                <w:kern w:val="0"/>
                <w:szCs w:val="21"/>
              </w:rPr>
              <w:t>万元以下的罚款：</w:t>
            </w:r>
            <w:r>
              <w:rPr>
                <w:rFonts w:ascii="Calibri" w:hAnsi="Calibri" w:eastAsia="宋体" w:cs="Times New Roman"/>
                <w:kern w:val="0"/>
                <w:szCs w:val="21"/>
              </w:rPr>
              <w:t>……</w:t>
            </w:r>
            <w:r>
              <w:rPr>
                <w:rFonts w:hint="eastAsia" w:ascii="宋体" w:hAnsi="宋体" w:eastAsia="宋体" w:cs="宋体"/>
                <w:kern w:val="0"/>
                <w:szCs w:val="21"/>
              </w:rPr>
              <w:t>（二）未按照规定开展应急预案评审的</w:t>
            </w:r>
            <w:r>
              <w:rPr>
                <w:rFonts w:ascii="Calibri" w:hAnsi="Calibri" w:eastAsia="宋体" w:cs="Times New Roman"/>
                <w:kern w:val="0"/>
                <w:szCs w:val="21"/>
              </w:rPr>
              <w:t>;……”</w:t>
            </w:r>
          </w:p>
        </w:tc>
      </w:tr>
      <w:tr>
        <w:tblPrEx>
          <w:tblCellMar>
            <w:top w:w="0" w:type="dxa"/>
            <w:left w:w="108" w:type="dxa"/>
            <w:bottom w:w="0" w:type="dxa"/>
            <w:right w:w="108" w:type="dxa"/>
          </w:tblCellMar>
        </w:tblPrEx>
        <w:trPr>
          <w:trHeight w:val="1080"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4"/>
                <w:lang w:eastAsia="zh-CN"/>
              </w:rPr>
            </w:pPr>
            <w:r>
              <w:rPr>
                <w:rFonts w:hint="eastAsia" w:ascii="Times New Roman" w:hAnsi="Times New Roman" w:eastAsia="宋体" w:cs="Times New Roman"/>
                <w:kern w:val="0"/>
                <w:sz w:val="22"/>
                <w:szCs w:val="24"/>
                <w:lang w:val="en-US" w:eastAsia="zh-CN"/>
              </w:rPr>
              <w:t>4</w:t>
            </w:r>
          </w:p>
        </w:tc>
        <w:tc>
          <w:tcPr>
            <w:tcW w:w="222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事故风险可能影响周边单位、人员的，生产经营单位未将事故风险的性质、影响范围和应急防范措施告知周边单位和人员的</w:t>
            </w:r>
          </w:p>
        </w:tc>
        <w:tc>
          <w:tcPr>
            <w:tcW w:w="307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Times New Roman" w:hAnsi="Times New Roman" w:eastAsia="宋体" w:cs="Times New Roman"/>
                <w:b/>
                <w:kern w:val="0"/>
                <w:szCs w:val="21"/>
              </w:rPr>
              <w:t>《生产安全事故应急预案管理办法》</w:t>
            </w:r>
            <w:r>
              <w:rPr>
                <w:rFonts w:hint="eastAsia" w:ascii="宋体" w:hAnsi="宋体" w:eastAsia="宋体" w:cs="宋体"/>
                <w:kern w:val="0"/>
                <w:szCs w:val="21"/>
              </w:rPr>
              <w:t>（</w:t>
            </w:r>
            <w:r>
              <w:rPr>
                <w:rFonts w:hint="eastAsia" w:ascii="宋体" w:hAnsi="宋体" w:eastAsia="宋体" w:cs="Times New Roman"/>
                <w:kern w:val="0"/>
                <w:szCs w:val="21"/>
              </w:rPr>
              <w:t>（原国家安全监管总局令第</w:t>
            </w:r>
            <w:r>
              <w:rPr>
                <w:rFonts w:ascii="Times New Roman" w:hAnsi="Times New Roman" w:eastAsia="宋体" w:cs="Times New Roman"/>
                <w:kern w:val="0"/>
                <w:szCs w:val="21"/>
              </w:rPr>
              <w:t>88</w:t>
            </w:r>
            <w:r>
              <w:rPr>
                <w:rFonts w:hint="eastAsia" w:ascii="宋体" w:hAnsi="宋体" w:eastAsia="宋体" w:cs="Times New Roman"/>
                <w:kern w:val="0"/>
                <w:szCs w:val="21"/>
              </w:rPr>
              <w:t>号令，应急管理部令第</w:t>
            </w:r>
            <w:r>
              <w:rPr>
                <w:rFonts w:ascii="Times New Roman" w:hAnsi="Times New Roman" w:eastAsia="宋体" w:cs="Times New Roman"/>
                <w:kern w:val="0"/>
                <w:szCs w:val="21"/>
              </w:rPr>
              <w:t>2</w:t>
            </w:r>
            <w:r>
              <w:rPr>
                <w:rFonts w:hint="eastAsia" w:ascii="宋体" w:hAnsi="宋体" w:eastAsia="宋体" w:cs="Times New Roman"/>
                <w:kern w:val="0"/>
                <w:szCs w:val="21"/>
              </w:rPr>
              <w:t>号修正</w:t>
            </w:r>
            <w:r>
              <w:rPr>
                <w:rFonts w:hint="eastAsia" w:ascii="宋体" w:hAnsi="宋体" w:eastAsia="宋体" w:cs="宋体"/>
                <w:kern w:val="0"/>
                <w:szCs w:val="21"/>
              </w:rPr>
              <w:t>）第四十五条：</w:t>
            </w:r>
            <w:r>
              <w:rPr>
                <w:rFonts w:ascii="Calibri" w:hAnsi="Calibri" w:eastAsia="宋体" w:cs="Times New Roman"/>
                <w:kern w:val="0"/>
                <w:szCs w:val="21"/>
              </w:rPr>
              <w:t>“</w:t>
            </w:r>
            <w:r>
              <w:rPr>
                <w:rFonts w:hint="eastAsia" w:ascii="宋体" w:hAnsi="宋体" w:eastAsia="宋体" w:cs="宋体"/>
                <w:kern w:val="0"/>
                <w:szCs w:val="21"/>
              </w:rPr>
              <w:t>生产经营单位有下列情形之一的，由县级以上人民政府应急管理部门责令限期改正，可以处</w:t>
            </w:r>
            <w:r>
              <w:rPr>
                <w:rFonts w:ascii="Times New Roman" w:hAnsi="Times New Roman" w:eastAsia="宋体" w:cs="Times New Roman"/>
                <w:kern w:val="0"/>
                <w:szCs w:val="21"/>
              </w:rPr>
              <w:t>1</w:t>
            </w:r>
            <w:r>
              <w:rPr>
                <w:rFonts w:hint="eastAsia" w:ascii="宋体" w:hAnsi="宋体" w:eastAsia="宋体" w:cs="宋体"/>
                <w:kern w:val="0"/>
                <w:szCs w:val="21"/>
              </w:rPr>
              <w:t>万元以上</w:t>
            </w:r>
            <w:r>
              <w:rPr>
                <w:rFonts w:ascii="Times New Roman" w:hAnsi="Times New Roman" w:eastAsia="宋体" w:cs="Times New Roman"/>
                <w:kern w:val="0"/>
                <w:szCs w:val="21"/>
              </w:rPr>
              <w:t>3</w:t>
            </w:r>
            <w:r>
              <w:rPr>
                <w:rFonts w:hint="eastAsia" w:ascii="宋体" w:hAnsi="宋体" w:eastAsia="宋体" w:cs="宋体"/>
                <w:kern w:val="0"/>
                <w:szCs w:val="21"/>
              </w:rPr>
              <w:t>万元以下的罚款</w:t>
            </w:r>
            <w:r>
              <w:rPr>
                <w:rFonts w:ascii="Calibri" w:hAnsi="Calibri" w:eastAsia="宋体" w:cs="Times New Roman"/>
                <w:kern w:val="0"/>
                <w:szCs w:val="21"/>
              </w:rPr>
              <w:t>……</w:t>
            </w:r>
            <w:r>
              <w:rPr>
                <w:rFonts w:hint="eastAsia" w:ascii="宋体" w:hAnsi="宋体" w:eastAsia="宋体" w:cs="宋体"/>
                <w:kern w:val="0"/>
                <w:szCs w:val="21"/>
              </w:rPr>
              <w:t>（三）事故风险可能影响周边单位、人员的，未将事故风险的性质、影响范围和应急防范措施告知周边单位和人员的。</w:t>
            </w:r>
            <w:r>
              <w:rPr>
                <w:rFonts w:ascii="Calibri" w:hAnsi="Calibri" w:eastAsia="宋体" w:cs="Times New Roman"/>
                <w:kern w:val="0"/>
                <w:szCs w:val="21"/>
              </w:rPr>
              <w:t>”</w:t>
            </w:r>
          </w:p>
        </w:tc>
      </w:tr>
      <w:tr>
        <w:tblPrEx>
          <w:tblCellMar>
            <w:top w:w="0" w:type="dxa"/>
            <w:left w:w="108" w:type="dxa"/>
            <w:bottom w:w="0" w:type="dxa"/>
            <w:right w:w="108" w:type="dxa"/>
          </w:tblCellMar>
        </w:tblPrEx>
        <w:trPr>
          <w:trHeight w:val="310"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4"/>
                <w:lang w:eastAsia="zh-CN"/>
              </w:rPr>
            </w:pPr>
            <w:r>
              <w:rPr>
                <w:rFonts w:hint="eastAsia" w:ascii="Times New Roman" w:hAnsi="Times New Roman" w:eastAsia="宋体" w:cs="Times New Roman"/>
                <w:kern w:val="0"/>
                <w:sz w:val="22"/>
                <w:szCs w:val="24"/>
                <w:lang w:val="en-US" w:eastAsia="zh-CN"/>
              </w:rPr>
              <w:t>5</w:t>
            </w:r>
          </w:p>
        </w:tc>
        <w:tc>
          <w:tcPr>
            <w:tcW w:w="222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生产经营单位未按照规定进行应急预案修订的</w:t>
            </w:r>
          </w:p>
        </w:tc>
        <w:tc>
          <w:tcPr>
            <w:tcW w:w="307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Times New Roman" w:hAnsi="Times New Roman" w:eastAsia="宋体" w:cs="Times New Roman"/>
                <w:b/>
                <w:kern w:val="0"/>
                <w:szCs w:val="21"/>
              </w:rPr>
              <w:t>《生产安全事故应急预案管理办法》</w:t>
            </w:r>
            <w:r>
              <w:rPr>
                <w:rFonts w:hint="eastAsia" w:ascii="宋体" w:hAnsi="宋体" w:eastAsia="宋体" w:cs="宋体"/>
                <w:kern w:val="0"/>
                <w:szCs w:val="21"/>
              </w:rPr>
              <w:t>（</w:t>
            </w:r>
            <w:r>
              <w:rPr>
                <w:rFonts w:hint="eastAsia" w:ascii="宋体" w:hAnsi="宋体" w:eastAsia="宋体" w:cs="Times New Roman"/>
                <w:kern w:val="0"/>
                <w:szCs w:val="21"/>
              </w:rPr>
              <w:t>（原国家安全监管总局令第</w:t>
            </w:r>
            <w:r>
              <w:rPr>
                <w:rFonts w:ascii="Times New Roman" w:hAnsi="Times New Roman" w:eastAsia="宋体" w:cs="Times New Roman"/>
                <w:kern w:val="0"/>
                <w:szCs w:val="21"/>
              </w:rPr>
              <w:t>88</w:t>
            </w:r>
            <w:r>
              <w:rPr>
                <w:rFonts w:hint="eastAsia" w:ascii="宋体" w:hAnsi="宋体" w:eastAsia="宋体" w:cs="Times New Roman"/>
                <w:kern w:val="0"/>
                <w:szCs w:val="21"/>
              </w:rPr>
              <w:t>号令，应急管理部令第</w:t>
            </w:r>
            <w:r>
              <w:rPr>
                <w:rFonts w:ascii="Times New Roman" w:hAnsi="Times New Roman" w:eastAsia="宋体" w:cs="Times New Roman"/>
                <w:kern w:val="0"/>
                <w:szCs w:val="21"/>
              </w:rPr>
              <w:t>2</w:t>
            </w:r>
            <w:r>
              <w:rPr>
                <w:rFonts w:hint="eastAsia" w:ascii="宋体" w:hAnsi="宋体" w:eastAsia="宋体" w:cs="Times New Roman"/>
                <w:kern w:val="0"/>
                <w:szCs w:val="21"/>
              </w:rPr>
              <w:t>号修正</w:t>
            </w:r>
            <w:r>
              <w:rPr>
                <w:rFonts w:hint="eastAsia" w:ascii="宋体" w:hAnsi="宋体" w:eastAsia="宋体" w:cs="宋体"/>
                <w:kern w:val="0"/>
                <w:szCs w:val="21"/>
              </w:rPr>
              <w:t>）第四十五条：</w:t>
            </w:r>
            <w:r>
              <w:rPr>
                <w:rFonts w:ascii="Calibri" w:hAnsi="Calibri" w:eastAsia="宋体" w:cs="Times New Roman"/>
                <w:kern w:val="0"/>
                <w:szCs w:val="21"/>
              </w:rPr>
              <w:t>“</w:t>
            </w:r>
            <w:r>
              <w:rPr>
                <w:rFonts w:hint="eastAsia" w:ascii="宋体" w:hAnsi="宋体" w:eastAsia="宋体" w:cs="宋体"/>
                <w:kern w:val="0"/>
                <w:szCs w:val="21"/>
              </w:rPr>
              <w:t>生产经营单位有下列情形之一的，由县级以上人民政府应急管理部门责令限期改正，可以处</w:t>
            </w:r>
            <w:r>
              <w:rPr>
                <w:rFonts w:ascii="Times New Roman" w:hAnsi="Times New Roman" w:eastAsia="宋体" w:cs="Times New Roman"/>
                <w:kern w:val="0"/>
                <w:szCs w:val="21"/>
              </w:rPr>
              <w:t>1</w:t>
            </w:r>
            <w:r>
              <w:rPr>
                <w:rFonts w:hint="eastAsia" w:ascii="宋体" w:hAnsi="宋体" w:eastAsia="宋体" w:cs="宋体"/>
                <w:kern w:val="0"/>
                <w:szCs w:val="21"/>
              </w:rPr>
              <w:t>万元以上</w:t>
            </w:r>
            <w:r>
              <w:rPr>
                <w:rFonts w:ascii="Times New Roman" w:hAnsi="Times New Roman" w:eastAsia="宋体" w:cs="Times New Roman"/>
                <w:kern w:val="0"/>
                <w:szCs w:val="21"/>
              </w:rPr>
              <w:t>3</w:t>
            </w:r>
            <w:r>
              <w:rPr>
                <w:rFonts w:hint="eastAsia" w:ascii="宋体" w:hAnsi="宋体" w:eastAsia="宋体" w:cs="宋体"/>
                <w:kern w:val="0"/>
                <w:szCs w:val="21"/>
              </w:rPr>
              <w:t>万元以下的罚款：……（五）未按照规定进行应急预案修订的</w:t>
            </w:r>
            <w:r>
              <w:rPr>
                <w:rFonts w:ascii="Calibri" w:hAnsi="Calibri" w:eastAsia="宋体" w:cs="Times New Roman"/>
                <w:kern w:val="0"/>
                <w:szCs w:val="21"/>
              </w:rPr>
              <w:t>;……”</w:t>
            </w:r>
          </w:p>
        </w:tc>
      </w:tr>
      <w:tr>
        <w:tblPrEx>
          <w:tblCellMar>
            <w:top w:w="0" w:type="dxa"/>
            <w:left w:w="108" w:type="dxa"/>
            <w:bottom w:w="0" w:type="dxa"/>
            <w:right w:w="108" w:type="dxa"/>
          </w:tblCellMar>
        </w:tblPrEx>
        <w:trPr>
          <w:trHeight w:val="810"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4"/>
                <w:lang w:eastAsia="zh-CN"/>
              </w:rPr>
            </w:pPr>
            <w:r>
              <w:rPr>
                <w:rFonts w:hint="eastAsia" w:ascii="Times New Roman" w:hAnsi="Times New Roman" w:eastAsia="宋体" w:cs="Times New Roman"/>
                <w:kern w:val="0"/>
                <w:sz w:val="22"/>
                <w:szCs w:val="24"/>
                <w:lang w:val="en-US" w:eastAsia="zh-CN"/>
              </w:rPr>
              <w:t>6</w:t>
            </w:r>
          </w:p>
        </w:tc>
        <w:tc>
          <w:tcPr>
            <w:tcW w:w="222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生产经营单位未落实应急预案规定的应急物资及装备的</w:t>
            </w:r>
          </w:p>
        </w:tc>
        <w:tc>
          <w:tcPr>
            <w:tcW w:w="307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Times New Roman" w:hAnsi="Times New Roman" w:eastAsia="宋体" w:cs="Times New Roman"/>
                <w:b/>
                <w:kern w:val="0"/>
                <w:szCs w:val="21"/>
              </w:rPr>
              <w:t>《生产安全事故应急预案管理办法》</w:t>
            </w:r>
            <w:r>
              <w:rPr>
                <w:rFonts w:hint="eastAsia" w:ascii="宋体" w:hAnsi="宋体" w:eastAsia="宋体" w:cs="宋体"/>
                <w:kern w:val="0"/>
                <w:szCs w:val="21"/>
              </w:rPr>
              <w:t>（</w:t>
            </w:r>
            <w:r>
              <w:rPr>
                <w:rFonts w:hint="eastAsia" w:ascii="宋体" w:hAnsi="宋体" w:eastAsia="宋体" w:cs="Times New Roman"/>
                <w:kern w:val="0"/>
                <w:szCs w:val="21"/>
              </w:rPr>
              <w:t>原国家安全监管总局令第</w:t>
            </w:r>
            <w:r>
              <w:rPr>
                <w:rFonts w:ascii="Times New Roman" w:hAnsi="Times New Roman" w:eastAsia="宋体" w:cs="Times New Roman"/>
                <w:kern w:val="0"/>
                <w:szCs w:val="21"/>
              </w:rPr>
              <w:t>88</w:t>
            </w:r>
            <w:r>
              <w:rPr>
                <w:rFonts w:hint="eastAsia" w:ascii="宋体" w:hAnsi="宋体" w:eastAsia="宋体" w:cs="Times New Roman"/>
                <w:kern w:val="0"/>
                <w:szCs w:val="21"/>
              </w:rPr>
              <w:t>号令，应急管理部令第</w:t>
            </w:r>
            <w:r>
              <w:rPr>
                <w:rFonts w:ascii="Times New Roman" w:hAnsi="Times New Roman" w:eastAsia="宋体" w:cs="Times New Roman"/>
                <w:kern w:val="0"/>
                <w:szCs w:val="21"/>
              </w:rPr>
              <w:t>2</w:t>
            </w:r>
            <w:r>
              <w:rPr>
                <w:rFonts w:hint="eastAsia" w:ascii="宋体" w:hAnsi="宋体" w:eastAsia="宋体" w:cs="Times New Roman"/>
                <w:kern w:val="0"/>
                <w:szCs w:val="21"/>
              </w:rPr>
              <w:t>号修正</w:t>
            </w:r>
            <w:r>
              <w:rPr>
                <w:rFonts w:hint="eastAsia" w:ascii="宋体" w:hAnsi="宋体" w:eastAsia="宋体" w:cs="宋体"/>
                <w:kern w:val="0"/>
                <w:szCs w:val="21"/>
              </w:rPr>
              <w:t>）第四十五条：</w:t>
            </w:r>
            <w:r>
              <w:rPr>
                <w:rFonts w:ascii="Calibri" w:hAnsi="Calibri" w:eastAsia="宋体" w:cs="Times New Roman"/>
                <w:kern w:val="0"/>
                <w:szCs w:val="21"/>
              </w:rPr>
              <w:t>“</w:t>
            </w:r>
            <w:r>
              <w:rPr>
                <w:rFonts w:hint="eastAsia" w:ascii="宋体" w:hAnsi="宋体" w:eastAsia="宋体" w:cs="宋体"/>
                <w:kern w:val="0"/>
                <w:szCs w:val="21"/>
              </w:rPr>
              <w:t>生产经营单位有下列情形之一的，由县级以上人民政府应急管理部门责令限期改正，可以处</w:t>
            </w:r>
            <w:r>
              <w:rPr>
                <w:rFonts w:ascii="Times New Roman" w:hAnsi="Times New Roman" w:eastAsia="宋体" w:cs="Times New Roman"/>
                <w:kern w:val="0"/>
                <w:szCs w:val="21"/>
              </w:rPr>
              <w:t>1</w:t>
            </w:r>
            <w:r>
              <w:rPr>
                <w:rFonts w:hint="eastAsia" w:ascii="宋体" w:hAnsi="宋体" w:eastAsia="宋体" w:cs="宋体"/>
                <w:kern w:val="0"/>
                <w:szCs w:val="21"/>
              </w:rPr>
              <w:t>万元以上</w:t>
            </w:r>
            <w:r>
              <w:rPr>
                <w:rFonts w:ascii="Times New Roman" w:hAnsi="Times New Roman" w:eastAsia="宋体" w:cs="Times New Roman"/>
                <w:kern w:val="0"/>
                <w:szCs w:val="21"/>
              </w:rPr>
              <w:t>3</w:t>
            </w:r>
            <w:r>
              <w:rPr>
                <w:rFonts w:hint="eastAsia" w:ascii="宋体" w:hAnsi="宋体" w:eastAsia="宋体" w:cs="宋体"/>
                <w:kern w:val="0"/>
                <w:szCs w:val="21"/>
              </w:rPr>
              <w:t>万元以下的罚款：……（六）未落实应急预案规定的应急物资及装备的。</w:t>
            </w:r>
            <w:r>
              <w:rPr>
                <w:rFonts w:ascii="Calibri" w:hAnsi="Calibri" w:eastAsia="宋体" w:cs="Times New Roman"/>
                <w:kern w:val="0"/>
                <w:szCs w:val="21"/>
              </w:rPr>
              <w:t>”</w:t>
            </w:r>
          </w:p>
        </w:tc>
      </w:tr>
      <w:tr>
        <w:tblPrEx>
          <w:tblCellMar>
            <w:top w:w="0" w:type="dxa"/>
            <w:left w:w="108" w:type="dxa"/>
            <w:bottom w:w="0" w:type="dxa"/>
            <w:right w:w="108" w:type="dxa"/>
          </w:tblCellMar>
        </w:tblPrEx>
        <w:trPr>
          <w:trHeight w:val="416"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4"/>
                <w:lang w:eastAsia="zh-CN"/>
              </w:rPr>
            </w:pPr>
            <w:r>
              <w:rPr>
                <w:rFonts w:hint="eastAsia" w:ascii="Times New Roman" w:hAnsi="Times New Roman" w:eastAsia="宋体" w:cs="Times New Roman"/>
                <w:kern w:val="0"/>
                <w:sz w:val="22"/>
                <w:szCs w:val="24"/>
                <w:lang w:val="en-US" w:eastAsia="zh-CN"/>
              </w:rPr>
              <w:t>7</w:t>
            </w:r>
          </w:p>
        </w:tc>
        <w:tc>
          <w:tcPr>
            <w:tcW w:w="222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从业人员进行安全培训期间未支付工资并承担安全培训费用的</w:t>
            </w:r>
          </w:p>
        </w:tc>
        <w:tc>
          <w:tcPr>
            <w:tcW w:w="307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一般行业生产经营单位，属于首次被发现并及时纠正，没有造成危害后果的</w:t>
            </w:r>
          </w:p>
        </w:tc>
        <w:tc>
          <w:tcPr>
            <w:tcW w:w="8438"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jc w:val="left"/>
              <w:rPr>
                <w:rFonts w:ascii="宋体" w:hAnsi="宋体" w:eastAsia="宋体" w:cs="宋体"/>
                <w:kern w:val="0"/>
                <w:szCs w:val="21"/>
              </w:rPr>
            </w:pPr>
            <w:r>
              <w:rPr>
                <w:rFonts w:hint="eastAsia" w:ascii="Times New Roman" w:hAnsi="Times New Roman" w:eastAsia="宋体" w:cs="Times New Roman"/>
                <w:b/>
                <w:kern w:val="0"/>
                <w:szCs w:val="21"/>
              </w:rPr>
              <w:t>《生产经营单位单位安全培训规定》</w:t>
            </w:r>
            <w:r>
              <w:rPr>
                <w:rFonts w:ascii="Times New Roman" w:hAnsi="Times New Roman" w:eastAsia="宋体" w:cs="Times New Roman"/>
                <w:b/>
                <w:kern w:val="0"/>
                <w:szCs w:val="21"/>
              </w:rPr>
              <w:t xml:space="preserve"> </w:t>
            </w:r>
            <w:r>
              <w:rPr>
                <w:rFonts w:hint="eastAsia" w:ascii="宋体" w:hAnsi="宋体" w:eastAsia="宋体" w:cs="宋体"/>
                <w:kern w:val="0"/>
                <w:szCs w:val="21"/>
              </w:rPr>
              <w:t>（原国家安全监管总局令第</w:t>
            </w:r>
            <w:r>
              <w:rPr>
                <w:rFonts w:ascii="Times New Roman" w:hAnsi="Times New Roman" w:eastAsia="宋体" w:cs="Times New Roman"/>
                <w:kern w:val="0"/>
                <w:szCs w:val="21"/>
              </w:rPr>
              <w:t>3</w:t>
            </w:r>
            <w:r>
              <w:rPr>
                <w:rFonts w:hint="eastAsia" w:ascii="宋体" w:hAnsi="宋体" w:eastAsia="宋体" w:cs="宋体"/>
                <w:kern w:val="0"/>
                <w:szCs w:val="21"/>
              </w:rPr>
              <w:t>号，第80号修正）第二十九条：</w:t>
            </w:r>
            <w:r>
              <w:rPr>
                <w:rFonts w:ascii="Calibri" w:hAnsi="Calibri" w:eastAsia="宋体" w:cs="Times New Roman"/>
                <w:kern w:val="0"/>
                <w:szCs w:val="21"/>
              </w:rPr>
              <w:t>“</w:t>
            </w:r>
            <w:r>
              <w:rPr>
                <w:rFonts w:hint="eastAsia" w:ascii="宋体" w:hAnsi="宋体" w:eastAsia="宋体" w:cs="宋体"/>
                <w:kern w:val="0"/>
                <w:szCs w:val="21"/>
              </w:rPr>
              <w:t>生产经营单位有下列行为之一的，由安全生产监管监察部门责令其限期改正，可以处</w:t>
            </w:r>
            <w:r>
              <w:rPr>
                <w:rFonts w:ascii="Times New Roman" w:hAnsi="Times New Roman" w:eastAsia="宋体" w:cs="Times New Roman"/>
                <w:kern w:val="0"/>
                <w:szCs w:val="21"/>
              </w:rPr>
              <w:t>1</w:t>
            </w:r>
            <w:r>
              <w:rPr>
                <w:rFonts w:hint="eastAsia" w:ascii="宋体" w:hAnsi="宋体" w:eastAsia="宋体" w:cs="宋体"/>
                <w:kern w:val="0"/>
                <w:szCs w:val="21"/>
              </w:rPr>
              <w:t>万元以上</w:t>
            </w:r>
            <w:r>
              <w:rPr>
                <w:rFonts w:ascii="Times New Roman" w:hAnsi="Times New Roman" w:eastAsia="宋体" w:cs="Times New Roman"/>
                <w:kern w:val="0"/>
                <w:szCs w:val="21"/>
              </w:rPr>
              <w:t>3</w:t>
            </w:r>
            <w:r>
              <w:rPr>
                <w:rFonts w:hint="eastAsia" w:ascii="宋体" w:hAnsi="宋体" w:eastAsia="宋体" w:cs="宋体"/>
                <w:kern w:val="0"/>
                <w:szCs w:val="21"/>
              </w:rPr>
              <w:t>万元以下的罚款：</w:t>
            </w:r>
            <w:r>
              <w:rPr>
                <w:rFonts w:ascii="Calibri" w:hAnsi="Calibri" w:eastAsia="宋体" w:cs="Times New Roman"/>
                <w:kern w:val="0"/>
                <w:szCs w:val="21"/>
              </w:rPr>
              <w:t>……</w:t>
            </w:r>
            <w:r>
              <w:rPr>
                <w:rFonts w:hint="eastAsia" w:ascii="宋体" w:hAnsi="宋体" w:eastAsia="宋体" w:cs="宋体"/>
                <w:kern w:val="0"/>
                <w:szCs w:val="21"/>
              </w:rPr>
              <w:t>（二）从业人员进行安全培训期间未支付工资并承担安全培训费用的。</w:t>
            </w:r>
            <w:r>
              <w:rPr>
                <w:rFonts w:ascii="Calibri" w:hAnsi="Calibri" w:eastAsia="宋体" w:cs="Times New Roman"/>
                <w:kern w:val="0"/>
                <w:szCs w:val="21"/>
              </w:rPr>
              <w:t>”</w:t>
            </w:r>
          </w:p>
        </w:tc>
      </w:tr>
    </w:tbl>
    <w:p>
      <w:pPr>
        <w:spacing w:line="600" w:lineRule="exact"/>
        <w:jc w:val="both"/>
        <w:rPr>
          <w:rFonts w:ascii="仿宋" w:hAnsi="仿宋" w:eastAsia="仿宋"/>
          <w:sz w:val="32"/>
          <w:szCs w:val="32"/>
        </w:rPr>
      </w:pPr>
      <w:r>
        <w:rPr>
          <w:rFonts w:hint="eastAsia" w:ascii="仿宋" w:eastAsia="仿宋"/>
          <w:sz w:val="32"/>
          <w:szCs w:val="32"/>
        </w:rPr>
        <w:t>   </w:t>
      </w:r>
    </w:p>
    <w:p>
      <w:pPr>
        <w:widowControl/>
        <w:spacing w:line="0" w:lineRule="atLeast"/>
        <w:ind w:firstLine="646"/>
        <w:jc w:val="left"/>
        <w:rPr>
          <w:rFonts w:ascii="楷体" w:hAnsi="楷体" w:eastAsia="楷体" w:cs="宋体"/>
          <w:kern w:val="0"/>
          <w:sz w:val="28"/>
          <w:szCs w:val="28"/>
        </w:rPr>
      </w:pPr>
      <w:r>
        <w:rPr>
          <w:rFonts w:hint="eastAsia" w:ascii="仿宋_GB2312" w:hAnsi="宋体" w:eastAsia="仿宋_GB2312" w:cs="宋体"/>
          <w:b/>
          <w:kern w:val="0"/>
          <w:sz w:val="28"/>
          <w:szCs w:val="28"/>
        </w:rPr>
        <w:t>备注：</w:t>
      </w:r>
      <w:r>
        <w:rPr>
          <w:rFonts w:hint="eastAsia" w:ascii="楷体" w:hAnsi="楷体" w:eastAsia="楷体" w:cs="宋体"/>
          <w:b/>
          <w:kern w:val="0"/>
          <w:sz w:val="28"/>
          <w:szCs w:val="28"/>
        </w:rPr>
        <w:t>《清单》中所称“一般行业生产经营单位”</w:t>
      </w:r>
      <w:r>
        <w:rPr>
          <w:rFonts w:hint="eastAsia" w:ascii="楷体" w:hAnsi="楷体" w:eastAsia="楷体" w:cs="宋体"/>
          <w:kern w:val="0"/>
          <w:sz w:val="28"/>
          <w:szCs w:val="28"/>
        </w:rPr>
        <w:t>是指除《江苏省安全生产条例》第十五条第一款规定的单位（矿山、金属冶炼、建筑施工、船舶修造、船舶拆解、道路运输单位和危险物品的生产、经营、储存单位）以外的由应急管理部门监管的生产经营单位（近三年未发生亡人或较大影响事故的）。</w:t>
      </w:r>
    </w:p>
    <w:p>
      <w:pPr>
        <w:widowControl/>
        <w:spacing w:line="0" w:lineRule="atLeast"/>
        <w:ind w:firstLine="646"/>
        <w:jc w:val="left"/>
        <w:rPr>
          <w:rFonts w:ascii="楷体" w:hAnsi="楷体" w:eastAsia="楷体" w:cs="宋体"/>
          <w:kern w:val="0"/>
          <w:sz w:val="28"/>
          <w:szCs w:val="28"/>
        </w:rPr>
      </w:pPr>
      <w:r>
        <w:rPr>
          <w:rFonts w:hint="eastAsia" w:ascii="楷体" w:hAnsi="楷体" w:eastAsia="楷体" w:cs="宋体"/>
          <w:b/>
          <w:kern w:val="0"/>
          <w:sz w:val="28"/>
          <w:szCs w:val="28"/>
        </w:rPr>
        <w:t>《清单》中所称“首次被发现”</w:t>
      </w:r>
      <w:r>
        <w:rPr>
          <w:rFonts w:hint="eastAsia" w:ascii="楷体" w:hAnsi="楷体" w:eastAsia="楷体" w:cs="宋体"/>
          <w:kern w:val="0"/>
          <w:sz w:val="28"/>
          <w:szCs w:val="28"/>
        </w:rPr>
        <w:t>是指生产经营单位的该项违法行为自本清单正式施行之日起第一次被各级应急管理部门执法人员发现。</w:t>
      </w:r>
    </w:p>
    <w:p>
      <w:pPr>
        <w:widowControl/>
        <w:spacing w:line="0" w:lineRule="atLeast"/>
        <w:ind w:firstLine="646"/>
        <w:jc w:val="left"/>
        <w:rPr>
          <w:rFonts w:ascii="楷体" w:hAnsi="楷体" w:eastAsia="楷体" w:cs="宋体"/>
          <w:kern w:val="0"/>
          <w:sz w:val="28"/>
          <w:szCs w:val="28"/>
        </w:rPr>
      </w:pPr>
      <w:r>
        <w:rPr>
          <w:rFonts w:hint="eastAsia" w:ascii="楷体" w:hAnsi="楷体" w:eastAsia="楷体" w:cs="宋体"/>
          <w:b/>
          <w:kern w:val="0"/>
          <w:sz w:val="28"/>
          <w:szCs w:val="28"/>
        </w:rPr>
        <w:t>《清单》中所称“及时纠正”</w:t>
      </w:r>
      <w:r>
        <w:rPr>
          <w:rFonts w:hint="eastAsia" w:ascii="楷体" w:hAnsi="楷体" w:eastAsia="楷体" w:cs="宋体"/>
          <w:kern w:val="0"/>
          <w:sz w:val="28"/>
          <w:szCs w:val="28"/>
        </w:rPr>
        <w:t>是指生产经营单位按时限要求完成了违法行为整改，且经执法人员复查验收符合法律法规规章和有关标准的要求。</w:t>
      </w:r>
    </w:p>
    <w:p>
      <w:pPr>
        <w:widowControl/>
        <w:spacing w:line="0" w:lineRule="atLeast"/>
        <w:ind w:firstLine="646"/>
        <w:jc w:val="left"/>
        <w:rPr>
          <w:rFonts w:ascii="仿宋" w:hAnsi="仿宋" w:eastAsia="仿宋"/>
          <w:sz w:val="32"/>
          <w:szCs w:val="32"/>
        </w:rPr>
      </w:pPr>
      <w:r>
        <w:rPr>
          <w:rFonts w:hint="eastAsia" w:ascii="楷体" w:hAnsi="楷体" w:eastAsia="楷体" w:cs="宋体"/>
          <w:b/>
          <w:kern w:val="0"/>
          <w:sz w:val="28"/>
          <w:szCs w:val="28"/>
        </w:rPr>
        <w:t>《清单》中所称“没有造成危害后果”</w:t>
      </w:r>
      <w:r>
        <w:rPr>
          <w:rFonts w:hint="eastAsia" w:ascii="楷体" w:hAnsi="楷体" w:eastAsia="楷体" w:cs="宋体"/>
          <w:kern w:val="0"/>
          <w:sz w:val="28"/>
          <w:szCs w:val="28"/>
        </w:rPr>
        <w:t>是指没有给国家及公民、法人和其他组织造成任何的财产损失或人员伤亡的后果。</w:t>
      </w:r>
    </w:p>
    <w:p>
      <w:pPr>
        <w:widowControl/>
        <w:jc w:val="left"/>
        <w:rPr>
          <w:rFonts w:ascii="仿宋" w:hAnsi="仿宋" w:eastAsia="仿宋"/>
          <w:sz w:val="32"/>
          <w:szCs w:val="32"/>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0C"/>
    <w:rsid w:val="000A002F"/>
    <w:rsid w:val="00120134"/>
    <w:rsid w:val="001221FF"/>
    <w:rsid w:val="0020043B"/>
    <w:rsid w:val="002101C3"/>
    <w:rsid w:val="002A1853"/>
    <w:rsid w:val="002B5280"/>
    <w:rsid w:val="003558B5"/>
    <w:rsid w:val="003B3BBA"/>
    <w:rsid w:val="004A09EF"/>
    <w:rsid w:val="004F7CA2"/>
    <w:rsid w:val="00585E1B"/>
    <w:rsid w:val="006809B6"/>
    <w:rsid w:val="006A48D1"/>
    <w:rsid w:val="009160B6"/>
    <w:rsid w:val="00A44A32"/>
    <w:rsid w:val="00A66661"/>
    <w:rsid w:val="00A91443"/>
    <w:rsid w:val="00AA13E6"/>
    <w:rsid w:val="00AF4DE0"/>
    <w:rsid w:val="00B54D08"/>
    <w:rsid w:val="00C34C0C"/>
    <w:rsid w:val="00C94860"/>
    <w:rsid w:val="00CE4AF6"/>
    <w:rsid w:val="00D53966"/>
    <w:rsid w:val="00DE56D7"/>
    <w:rsid w:val="00ED7C78"/>
    <w:rsid w:val="021C29C7"/>
    <w:rsid w:val="02F954BF"/>
    <w:rsid w:val="03800534"/>
    <w:rsid w:val="04477AA3"/>
    <w:rsid w:val="051F1772"/>
    <w:rsid w:val="07043A2A"/>
    <w:rsid w:val="07CA4C73"/>
    <w:rsid w:val="084D458A"/>
    <w:rsid w:val="087F5805"/>
    <w:rsid w:val="08A71CDB"/>
    <w:rsid w:val="08FA3EB7"/>
    <w:rsid w:val="09BC7202"/>
    <w:rsid w:val="0A697A37"/>
    <w:rsid w:val="0AE02053"/>
    <w:rsid w:val="0E5C5EAE"/>
    <w:rsid w:val="0EE3661B"/>
    <w:rsid w:val="0F665E9F"/>
    <w:rsid w:val="0F6A7266"/>
    <w:rsid w:val="10EC17B7"/>
    <w:rsid w:val="12062D4C"/>
    <w:rsid w:val="12491D69"/>
    <w:rsid w:val="127F65E8"/>
    <w:rsid w:val="131D034D"/>
    <w:rsid w:val="16114109"/>
    <w:rsid w:val="16B73699"/>
    <w:rsid w:val="176302F9"/>
    <w:rsid w:val="178162E4"/>
    <w:rsid w:val="183D4FEE"/>
    <w:rsid w:val="19F85670"/>
    <w:rsid w:val="1A516F94"/>
    <w:rsid w:val="1A9E73B7"/>
    <w:rsid w:val="1B48577A"/>
    <w:rsid w:val="1C3D380E"/>
    <w:rsid w:val="1C5B7B42"/>
    <w:rsid w:val="1F7237CF"/>
    <w:rsid w:val="21026DD4"/>
    <w:rsid w:val="212979C7"/>
    <w:rsid w:val="21486EDD"/>
    <w:rsid w:val="224F08FC"/>
    <w:rsid w:val="2288155B"/>
    <w:rsid w:val="22BB1438"/>
    <w:rsid w:val="23F23130"/>
    <w:rsid w:val="241A4435"/>
    <w:rsid w:val="272C0707"/>
    <w:rsid w:val="285C7228"/>
    <w:rsid w:val="29451F54"/>
    <w:rsid w:val="29EC0622"/>
    <w:rsid w:val="2A660D1C"/>
    <w:rsid w:val="2B911481"/>
    <w:rsid w:val="2BD86F26"/>
    <w:rsid w:val="2CB573F1"/>
    <w:rsid w:val="2CFE48F4"/>
    <w:rsid w:val="2D6D3182"/>
    <w:rsid w:val="2DC07DFB"/>
    <w:rsid w:val="2F725125"/>
    <w:rsid w:val="2FD20FC4"/>
    <w:rsid w:val="30B336D9"/>
    <w:rsid w:val="315B61CA"/>
    <w:rsid w:val="321171B6"/>
    <w:rsid w:val="322B489E"/>
    <w:rsid w:val="33C4539B"/>
    <w:rsid w:val="35675000"/>
    <w:rsid w:val="35EF533C"/>
    <w:rsid w:val="361433DA"/>
    <w:rsid w:val="363D28CA"/>
    <w:rsid w:val="37E40B8A"/>
    <w:rsid w:val="38D36FAD"/>
    <w:rsid w:val="38E928FC"/>
    <w:rsid w:val="38F35529"/>
    <w:rsid w:val="3AEC66D3"/>
    <w:rsid w:val="3AF13CEA"/>
    <w:rsid w:val="3BFF5F92"/>
    <w:rsid w:val="3C681D8A"/>
    <w:rsid w:val="3C746980"/>
    <w:rsid w:val="3E5F4442"/>
    <w:rsid w:val="3F33629E"/>
    <w:rsid w:val="3F5D6952"/>
    <w:rsid w:val="40672E41"/>
    <w:rsid w:val="40D31983"/>
    <w:rsid w:val="41394B4E"/>
    <w:rsid w:val="41C606FD"/>
    <w:rsid w:val="420133FE"/>
    <w:rsid w:val="42E67EAC"/>
    <w:rsid w:val="467E52DA"/>
    <w:rsid w:val="48482A6F"/>
    <w:rsid w:val="48A67378"/>
    <w:rsid w:val="4B0233A9"/>
    <w:rsid w:val="4B5C518F"/>
    <w:rsid w:val="4BB26B7D"/>
    <w:rsid w:val="4BD74836"/>
    <w:rsid w:val="4BED635F"/>
    <w:rsid w:val="4D862070"/>
    <w:rsid w:val="4E78429A"/>
    <w:rsid w:val="4EFB4CDF"/>
    <w:rsid w:val="50E377D9"/>
    <w:rsid w:val="51031E08"/>
    <w:rsid w:val="51145BE4"/>
    <w:rsid w:val="51DA01C5"/>
    <w:rsid w:val="53061C48"/>
    <w:rsid w:val="53452D12"/>
    <w:rsid w:val="53C2401E"/>
    <w:rsid w:val="53E25FD8"/>
    <w:rsid w:val="54E12D4A"/>
    <w:rsid w:val="55745229"/>
    <w:rsid w:val="57A54D0A"/>
    <w:rsid w:val="5A434FDF"/>
    <w:rsid w:val="5AA9067C"/>
    <w:rsid w:val="5BBD32AE"/>
    <w:rsid w:val="5BCA7F13"/>
    <w:rsid w:val="5C133668"/>
    <w:rsid w:val="5D4D7217"/>
    <w:rsid w:val="5DEF2A56"/>
    <w:rsid w:val="5DF954D4"/>
    <w:rsid w:val="5EA06D09"/>
    <w:rsid w:val="5ED74B94"/>
    <w:rsid w:val="5EF62DCD"/>
    <w:rsid w:val="5F3833E6"/>
    <w:rsid w:val="5FE64BF0"/>
    <w:rsid w:val="6033538C"/>
    <w:rsid w:val="60AA20C1"/>
    <w:rsid w:val="60CA12CA"/>
    <w:rsid w:val="6181305C"/>
    <w:rsid w:val="61B50D7A"/>
    <w:rsid w:val="66203EBE"/>
    <w:rsid w:val="66C10C3C"/>
    <w:rsid w:val="67672ABA"/>
    <w:rsid w:val="68264723"/>
    <w:rsid w:val="6AA14697"/>
    <w:rsid w:val="6B1747F7"/>
    <w:rsid w:val="6B632832"/>
    <w:rsid w:val="6B9145AA"/>
    <w:rsid w:val="6C517895"/>
    <w:rsid w:val="6D8F264C"/>
    <w:rsid w:val="6DF64B98"/>
    <w:rsid w:val="6E1A15A7"/>
    <w:rsid w:val="6EA840E4"/>
    <w:rsid w:val="6EE97AC5"/>
    <w:rsid w:val="6F435BBB"/>
    <w:rsid w:val="6FA83C70"/>
    <w:rsid w:val="70726901"/>
    <w:rsid w:val="70C924BF"/>
    <w:rsid w:val="716630C1"/>
    <w:rsid w:val="72D229A4"/>
    <w:rsid w:val="733D0EC9"/>
    <w:rsid w:val="748B3D8C"/>
    <w:rsid w:val="74A13D15"/>
    <w:rsid w:val="756D0068"/>
    <w:rsid w:val="762E0F7A"/>
    <w:rsid w:val="772B5915"/>
    <w:rsid w:val="77476464"/>
    <w:rsid w:val="78342545"/>
    <w:rsid w:val="7A502C6E"/>
    <w:rsid w:val="7AB44229"/>
    <w:rsid w:val="7B007056"/>
    <w:rsid w:val="7B5B3EA0"/>
    <w:rsid w:val="7C547659"/>
    <w:rsid w:val="7C5E5DE2"/>
    <w:rsid w:val="7DFF1938"/>
    <w:rsid w:val="7E2E4799"/>
    <w:rsid w:val="7E724274"/>
    <w:rsid w:val="7F80343E"/>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semiHidden/>
    <w:unhideWhenUsed/>
    <w:qFormat/>
    <w:uiPriority w:val="99"/>
    <w:pPr>
      <w:tabs>
        <w:tab w:val="center" w:pos="4153"/>
        <w:tab w:val="right" w:pos="8306"/>
      </w:tabs>
      <w:snapToGrid w:val="0"/>
      <w:jc w:val="left"/>
    </w:pPr>
    <w:rPr>
      <w:sz w:val="18"/>
      <w:szCs w:val="18"/>
    </w:rPr>
  </w:style>
  <w:style w:type="paragraph" w:styleId="3">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styleId="7">
    <w:name w:val="Strong"/>
    <w:basedOn w:val="6"/>
    <w:qFormat/>
    <w:uiPriority w:val="0"/>
    <w:rPr>
      <w:b/>
    </w:rPr>
  </w:style>
  <w:style w:type="character" w:styleId="8">
    <w:name w:val="FollowedHyperlink"/>
    <w:basedOn w:val="6"/>
    <w:semiHidden/>
    <w:unhideWhenUsed/>
    <w:qFormat/>
    <w:uiPriority w:val="99"/>
    <w:rPr>
      <w:color w:val="333333"/>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333333"/>
      <w:u w:val="none"/>
    </w:rPr>
  </w:style>
  <w:style w:type="character" w:styleId="13">
    <w:name w:val="HTML Code"/>
    <w:basedOn w:val="6"/>
    <w:semiHidden/>
    <w:unhideWhenUsed/>
    <w:qFormat/>
    <w:uiPriority w:val="99"/>
    <w:rPr>
      <w:rFonts w:ascii="Courier New" w:hAnsi="Courier New"/>
      <w:sz w:val="20"/>
    </w:rPr>
  </w:style>
  <w:style w:type="character" w:styleId="14">
    <w:name w:val="HTML Cite"/>
    <w:basedOn w:val="6"/>
    <w:semiHidden/>
    <w:unhideWhenUsed/>
    <w:qFormat/>
    <w:uiPriority w:val="99"/>
  </w:style>
  <w:style w:type="paragraph" w:customStyle="1" w:styleId="15">
    <w:name w:val="con-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6"/>
    <w:link w:val="3"/>
    <w:semiHidden/>
    <w:qFormat/>
    <w:uiPriority w:val="99"/>
    <w:rPr>
      <w:sz w:val="18"/>
      <w:szCs w:val="18"/>
    </w:rPr>
  </w:style>
  <w:style w:type="character" w:customStyle="1" w:styleId="17">
    <w:name w:val="页脚 Char"/>
    <w:basedOn w:val="6"/>
    <w:link w:val="2"/>
    <w:semiHidden/>
    <w:qFormat/>
    <w:uiPriority w:val="99"/>
    <w:rPr>
      <w:sz w:val="18"/>
      <w:szCs w:val="18"/>
    </w:rPr>
  </w:style>
  <w:style w:type="character" w:customStyle="1" w:styleId="18">
    <w:name w:val="font11"/>
    <w:basedOn w:val="6"/>
    <w:qFormat/>
    <w:uiPriority w:val="0"/>
    <w:rPr>
      <w:rFonts w:hint="eastAsia" w:ascii="宋体" w:hAnsi="宋体" w:eastAsia="宋体" w:cs="宋体"/>
      <w:b/>
      <w:bCs/>
      <w:color w:val="000000"/>
      <w:sz w:val="22"/>
      <w:szCs w:val="22"/>
      <w:u w:val="none"/>
    </w:rPr>
  </w:style>
  <w:style w:type="character" w:customStyle="1" w:styleId="19">
    <w:name w:val="dt62"/>
    <w:basedOn w:val="6"/>
    <w:qFormat/>
    <w:uiPriority w:val="0"/>
  </w:style>
  <w:style w:type="character" w:customStyle="1" w:styleId="20">
    <w:name w:val="dt4"/>
    <w:basedOn w:val="6"/>
    <w:qFormat/>
    <w:uiPriority w:val="0"/>
  </w:style>
  <w:style w:type="character" w:customStyle="1" w:styleId="21">
    <w:name w:val="dt52"/>
    <w:basedOn w:val="6"/>
    <w:qFormat/>
    <w:uiPriority w:val="0"/>
  </w:style>
  <w:style w:type="character" w:customStyle="1" w:styleId="22">
    <w:name w:val="dt6"/>
    <w:basedOn w:val="6"/>
    <w:qFormat/>
    <w:uiPriority w:val="0"/>
  </w:style>
  <w:style w:type="character" w:customStyle="1" w:styleId="23">
    <w:name w:val="dt5"/>
    <w:basedOn w:val="6"/>
    <w:qFormat/>
    <w:uiPriority w:val="0"/>
  </w:style>
  <w:style w:type="character" w:customStyle="1" w:styleId="24">
    <w:name w:val="dt4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1015</Words>
  <Characters>5787</Characters>
  <Lines>48</Lines>
  <Paragraphs>13</Paragraphs>
  <TotalTime>2</TotalTime>
  <ScaleCrop>false</ScaleCrop>
  <LinksUpToDate>false</LinksUpToDate>
  <CharactersWithSpaces>6789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2021-11-16T08:01:00Z</dcterms:created>
  <dc:creator>Administrator</dc:creator>
  <cp:lastModifiedBy>Administrator</cp:lastModifiedBy>
  <cp:lastPrinted>2022-01-24T01:29:00Z</cp:lastPrinted>
  <dcterms:modified xsi:type="dcterms:W3CDTF">2022-01-24T03:26:57Z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4DD73983B5854499B760A8D9303D23EE</vt:lpwstr>
  </property>
</Properties>
</file>