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left"/>
        <w:rPr>
          <w:rFonts w:ascii="黑体" w:hAnsi="黑体" w:eastAsia="黑体" w:cs="黑体"/>
          <w:szCs w:val="32"/>
        </w:rPr>
      </w:pPr>
      <w:bookmarkStart w:id="0" w:name="_GoBack"/>
      <w:bookmarkEnd w:id="0"/>
      <w:r>
        <w:rPr>
          <w:rFonts w:hint="eastAsia" w:ascii="黑体" w:hAnsi="黑体" w:eastAsia="黑体" w:cs="黑体"/>
          <w:szCs w:val="32"/>
        </w:rPr>
        <w:t>附件</w:t>
      </w: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连云港市应急管理局2021年度“双随机、一公开”抽查计划表</w:t>
      </w:r>
    </w:p>
    <w:tbl>
      <w:tblPr>
        <w:tblStyle w:val="13"/>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45"/>
        <w:gridCol w:w="709"/>
        <w:gridCol w:w="29"/>
        <w:gridCol w:w="963"/>
        <w:gridCol w:w="851"/>
        <w:gridCol w:w="850"/>
        <w:gridCol w:w="1134"/>
        <w:gridCol w:w="851"/>
        <w:gridCol w:w="708"/>
        <w:gridCol w:w="709"/>
        <w:gridCol w:w="29"/>
        <w:gridCol w:w="850"/>
        <w:gridCol w:w="82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540" w:type="dxa"/>
            <w:vMerge w:val="restart"/>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序号</w:t>
            </w:r>
          </w:p>
        </w:tc>
        <w:tc>
          <w:tcPr>
            <w:tcW w:w="2545" w:type="dxa"/>
            <w:vMerge w:val="restart"/>
            <w:vAlign w:val="center"/>
          </w:tcPr>
          <w:p>
            <w:pPr>
              <w:spacing w:line="240" w:lineRule="exact"/>
              <w:ind w:firstLine="0"/>
              <w:jc w:val="center"/>
              <w:rPr>
                <w:rFonts w:ascii="黑体" w:hAnsi="黑体" w:eastAsia="黑体" w:cs="黑体"/>
                <w:sz w:val="24"/>
                <w:szCs w:val="24"/>
              </w:rPr>
            </w:pP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抽查计划名称</w:t>
            </w:r>
          </w:p>
        </w:tc>
        <w:tc>
          <w:tcPr>
            <w:tcW w:w="1701" w:type="dxa"/>
            <w:gridSpan w:val="3"/>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是否联合</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检查</w:t>
            </w:r>
          </w:p>
        </w:tc>
        <w:tc>
          <w:tcPr>
            <w:tcW w:w="851" w:type="dxa"/>
            <w:vMerge w:val="restart"/>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事项类别</w:t>
            </w:r>
          </w:p>
        </w:tc>
        <w:tc>
          <w:tcPr>
            <w:tcW w:w="850" w:type="dxa"/>
            <w:vMerge w:val="restart"/>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抽查</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比例</w:t>
            </w:r>
          </w:p>
        </w:tc>
        <w:tc>
          <w:tcPr>
            <w:tcW w:w="1134" w:type="dxa"/>
            <w:vMerge w:val="restart"/>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抽查</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频次</w:t>
            </w:r>
          </w:p>
        </w:tc>
        <w:tc>
          <w:tcPr>
            <w:tcW w:w="851" w:type="dxa"/>
            <w:vMerge w:val="restart"/>
            <w:vAlign w:val="center"/>
          </w:tcPr>
          <w:p>
            <w:pPr>
              <w:spacing w:line="240" w:lineRule="exact"/>
              <w:ind w:firstLine="0"/>
              <w:jc w:val="center"/>
              <w:rPr>
                <w:rFonts w:ascii="黑体" w:hAnsi="黑体" w:eastAsia="黑体" w:cs="黑体"/>
                <w:sz w:val="24"/>
                <w:szCs w:val="24"/>
              </w:rPr>
            </w:pP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抽查</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方式</w:t>
            </w:r>
          </w:p>
        </w:tc>
        <w:tc>
          <w:tcPr>
            <w:tcW w:w="708" w:type="dxa"/>
            <w:vMerge w:val="restart"/>
            <w:vAlign w:val="center"/>
          </w:tcPr>
          <w:p>
            <w:pPr>
              <w:spacing w:line="240" w:lineRule="exact"/>
              <w:ind w:firstLine="0"/>
              <w:jc w:val="center"/>
              <w:rPr>
                <w:rFonts w:ascii="黑体" w:hAnsi="黑体" w:eastAsia="黑体" w:cs="黑体"/>
                <w:sz w:val="24"/>
                <w:szCs w:val="24"/>
              </w:rPr>
            </w:pP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抽查</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主体</w:t>
            </w:r>
          </w:p>
        </w:tc>
        <w:tc>
          <w:tcPr>
            <w:tcW w:w="1588" w:type="dxa"/>
            <w:gridSpan w:val="3"/>
            <w:vAlign w:val="center"/>
          </w:tcPr>
          <w:p>
            <w:pPr>
              <w:spacing w:line="240" w:lineRule="exact"/>
              <w:ind w:firstLine="0"/>
              <w:jc w:val="center"/>
              <w:rPr>
                <w:rFonts w:hint="eastAsia" w:ascii="黑体" w:hAnsi="黑体" w:eastAsia="黑体" w:cs="黑体"/>
                <w:sz w:val="24"/>
                <w:szCs w:val="24"/>
              </w:rPr>
            </w:pPr>
            <w:r>
              <w:rPr>
                <w:rFonts w:hint="eastAsia" w:ascii="黑体" w:hAnsi="黑体" w:eastAsia="黑体" w:cs="黑体"/>
                <w:sz w:val="24"/>
                <w:szCs w:val="24"/>
              </w:rPr>
              <w:t>是否需要</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辅助人员</w:t>
            </w:r>
          </w:p>
        </w:tc>
        <w:tc>
          <w:tcPr>
            <w:tcW w:w="822" w:type="dxa"/>
            <w:vMerge w:val="restart"/>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完成</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时限</w:t>
            </w:r>
          </w:p>
        </w:tc>
        <w:tc>
          <w:tcPr>
            <w:tcW w:w="851" w:type="dxa"/>
            <w:vMerge w:val="restart"/>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责任</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部门</w:t>
            </w:r>
          </w:p>
        </w:tc>
        <w:tc>
          <w:tcPr>
            <w:tcW w:w="850" w:type="dxa"/>
            <w:vMerge w:val="restart"/>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抽取</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0" w:type="dxa"/>
            <w:vMerge w:val="continue"/>
            <w:vAlign w:val="center"/>
          </w:tcPr>
          <w:p>
            <w:pPr>
              <w:spacing w:line="240" w:lineRule="exact"/>
              <w:rPr>
                <w:sz w:val="24"/>
              </w:rPr>
            </w:pPr>
          </w:p>
        </w:tc>
        <w:tc>
          <w:tcPr>
            <w:tcW w:w="2545" w:type="dxa"/>
            <w:vMerge w:val="continue"/>
            <w:vAlign w:val="center"/>
          </w:tcPr>
          <w:p>
            <w:pPr>
              <w:spacing w:line="240" w:lineRule="exact"/>
              <w:rPr>
                <w:sz w:val="24"/>
              </w:rPr>
            </w:pPr>
          </w:p>
        </w:tc>
        <w:tc>
          <w:tcPr>
            <w:tcW w:w="709" w:type="dxa"/>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是或否</w:t>
            </w:r>
          </w:p>
        </w:tc>
        <w:tc>
          <w:tcPr>
            <w:tcW w:w="992" w:type="dxa"/>
            <w:gridSpan w:val="2"/>
            <w:vAlign w:val="center"/>
          </w:tcPr>
          <w:p>
            <w:pPr>
              <w:spacing w:line="240" w:lineRule="exact"/>
              <w:ind w:firstLine="0"/>
              <w:jc w:val="center"/>
              <w:rPr>
                <w:rFonts w:hint="eastAsia" w:ascii="黑体" w:hAnsi="黑体" w:eastAsia="黑体" w:cs="黑体"/>
                <w:sz w:val="24"/>
                <w:szCs w:val="24"/>
              </w:rPr>
            </w:pPr>
            <w:r>
              <w:rPr>
                <w:rFonts w:hint="eastAsia" w:ascii="黑体" w:hAnsi="黑体" w:eastAsia="黑体" w:cs="黑体"/>
                <w:sz w:val="24"/>
                <w:szCs w:val="24"/>
              </w:rPr>
              <w:t>联合</w:t>
            </w:r>
          </w:p>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部门</w:t>
            </w:r>
          </w:p>
        </w:tc>
        <w:tc>
          <w:tcPr>
            <w:tcW w:w="851" w:type="dxa"/>
            <w:vMerge w:val="continue"/>
            <w:vAlign w:val="center"/>
          </w:tcPr>
          <w:p>
            <w:pPr>
              <w:spacing w:line="240" w:lineRule="exact"/>
              <w:rPr>
                <w:sz w:val="24"/>
              </w:rPr>
            </w:pPr>
          </w:p>
        </w:tc>
        <w:tc>
          <w:tcPr>
            <w:tcW w:w="850" w:type="dxa"/>
            <w:vMerge w:val="continue"/>
            <w:vAlign w:val="center"/>
          </w:tcPr>
          <w:p>
            <w:pPr>
              <w:spacing w:line="240" w:lineRule="exact"/>
              <w:rPr>
                <w:sz w:val="24"/>
              </w:rPr>
            </w:pPr>
          </w:p>
        </w:tc>
        <w:tc>
          <w:tcPr>
            <w:tcW w:w="1134" w:type="dxa"/>
            <w:vMerge w:val="continue"/>
            <w:vAlign w:val="center"/>
          </w:tcPr>
          <w:p>
            <w:pPr>
              <w:spacing w:line="240" w:lineRule="exact"/>
              <w:rPr>
                <w:sz w:val="24"/>
              </w:rPr>
            </w:pPr>
          </w:p>
        </w:tc>
        <w:tc>
          <w:tcPr>
            <w:tcW w:w="851" w:type="dxa"/>
            <w:vMerge w:val="continue"/>
            <w:vAlign w:val="center"/>
          </w:tcPr>
          <w:p>
            <w:pPr>
              <w:spacing w:line="240" w:lineRule="exact"/>
              <w:rPr>
                <w:sz w:val="24"/>
              </w:rPr>
            </w:pPr>
          </w:p>
        </w:tc>
        <w:tc>
          <w:tcPr>
            <w:tcW w:w="708" w:type="dxa"/>
            <w:vMerge w:val="continue"/>
            <w:vAlign w:val="center"/>
          </w:tcPr>
          <w:p>
            <w:pPr>
              <w:spacing w:line="240" w:lineRule="exact"/>
              <w:rPr>
                <w:sz w:val="24"/>
              </w:rPr>
            </w:pPr>
          </w:p>
        </w:tc>
        <w:tc>
          <w:tcPr>
            <w:tcW w:w="709" w:type="dxa"/>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是或否</w:t>
            </w:r>
          </w:p>
        </w:tc>
        <w:tc>
          <w:tcPr>
            <w:tcW w:w="879" w:type="dxa"/>
            <w:gridSpan w:val="2"/>
            <w:vAlign w:val="center"/>
          </w:tcPr>
          <w:p>
            <w:pPr>
              <w:spacing w:line="240" w:lineRule="exact"/>
              <w:ind w:firstLine="0"/>
              <w:jc w:val="center"/>
              <w:rPr>
                <w:rFonts w:ascii="黑体" w:hAnsi="黑体" w:eastAsia="黑体" w:cs="黑体"/>
                <w:sz w:val="24"/>
                <w:szCs w:val="24"/>
              </w:rPr>
            </w:pPr>
            <w:r>
              <w:rPr>
                <w:rFonts w:hint="eastAsia" w:ascii="黑体" w:hAnsi="黑体" w:eastAsia="黑体" w:cs="黑体"/>
                <w:sz w:val="24"/>
                <w:szCs w:val="24"/>
              </w:rPr>
              <w:t>辅助人员</w:t>
            </w:r>
          </w:p>
        </w:tc>
        <w:tc>
          <w:tcPr>
            <w:tcW w:w="822" w:type="dxa"/>
            <w:vMerge w:val="continue"/>
            <w:vAlign w:val="center"/>
          </w:tcPr>
          <w:p>
            <w:pPr>
              <w:spacing w:line="240" w:lineRule="exact"/>
              <w:rPr>
                <w:sz w:val="24"/>
              </w:rPr>
            </w:pPr>
          </w:p>
        </w:tc>
        <w:tc>
          <w:tcPr>
            <w:tcW w:w="851" w:type="dxa"/>
            <w:vMerge w:val="continue"/>
            <w:vAlign w:val="center"/>
          </w:tcPr>
          <w:p>
            <w:pPr>
              <w:spacing w:line="240" w:lineRule="exact"/>
              <w:rPr>
                <w:sz w:val="24"/>
              </w:rPr>
            </w:pPr>
          </w:p>
        </w:tc>
        <w:tc>
          <w:tcPr>
            <w:tcW w:w="850" w:type="dxa"/>
            <w:vMerge w:val="continue"/>
            <w:vAlign w:val="center"/>
          </w:tcPr>
          <w:p>
            <w:pPr>
              <w:spacing w:line="2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0" w:type="dxa"/>
            <w:vAlign w:val="center"/>
          </w:tcPr>
          <w:p>
            <w:pPr>
              <w:spacing w:line="240" w:lineRule="exact"/>
              <w:ind w:firstLine="0"/>
              <w:jc w:val="center"/>
              <w:rPr>
                <w:rFonts w:eastAsia="仿宋"/>
                <w:sz w:val="21"/>
                <w:szCs w:val="21"/>
              </w:rPr>
            </w:pPr>
            <w:r>
              <w:rPr>
                <w:rFonts w:eastAsia="仿宋"/>
                <w:sz w:val="21"/>
                <w:szCs w:val="21"/>
              </w:rPr>
              <w:t>1</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危险化学品气体充装企业</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8.3%</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检查现场和资料</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市应急管理局</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3</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危化处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40" w:type="dxa"/>
            <w:vAlign w:val="center"/>
          </w:tcPr>
          <w:p>
            <w:pPr>
              <w:spacing w:line="240" w:lineRule="exact"/>
              <w:ind w:firstLine="0"/>
              <w:jc w:val="center"/>
              <w:rPr>
                <w:rFonts w:eastAsia="仿宋"/>
                <w:sz w:val="21"/>
                <w:szCs w:val="21"/>
              </w:rPr>
            </w:pPr>
            <w:r>
              <w:rPr>
                <w:rFonts w:eastAsia="仿宋"/>
                <w:sz w:val="21"/>
                <w:szCs w:val="21"/>
              </w:rPr>
              <w:t>2</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危险化学品带储存设施经营企业</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33.3%</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5</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危化处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40" w:type="dxa"/>
            <w:vAlign w:val="center"/>
          </w:tcPr>
          <w:p>
            <w:pPr>
              <w:spacing w:line="240" w:lineRule="exact"/>
              <w:ind w:firstLine="0"/>
              <w:jc w:val="center"/>
              <w:rPr>
                <w:rFonts w:eastAsia="仿宋"/>
                <w:sz w:val="21"/>
                <w:szCs w:val="21"/>
              </w:rPr>
            </w:pPr>
            <w:r>
              <w:rPr>
                <w:rFonts w:eastAsia="仿宋"/>
                <w:sz w:val="21"/>
                <w:szCs w:val="21"/>
              </w:rPr>
              <w:t>3</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危险化学品使用企业</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14.3%</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5</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危化处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0" w:type="dxa"/>
            <w:vAlign w:val="center"/>
          </w:tcPr>
          <w:p>
            <w:pPr>
              <w:spacing w:line="240" w:lineRule="exact"/>
              <w:ind w:firstLine="0"/>
              <w:jc w:val="center"/>
              <w:rPr>
                <w:rFonts w:eastAsia="仿宋"/>
                <w:sz w:val="21"/>
                <w:szCs w:val="21"/>
              </w:rPr>
            </w:pPr>
            <w:r>
              <w:rPr>
                <w:rFonts w:eastAsia="仿宋"/>
                <w:sz w:val="21"/>
                <w:szCs w:val="21"/>
              </w:rPr>
              <w:t>4</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危险化学品生产企业</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992" w:type="dxa"/>
            <w:gridSpan w:val="2"/>
            <w:vAlign w:val="center"/>
          </w:tcPr>
          <w:p>
            <w:pPr>
              <w:spacing w:line="240" w:lineRule="exact"/>
              <w:ind w:firstLine="0"/>
              <w:jc w:val="center"/>
              <w:rPr>
                <w:rFonts w:eastAsia="仿宋"/>
                <w:sz w:val="21"/>
                <w:szCs w:val="21"/>
              </w:rPr>
            </w:pPr>
            <w:r>
              <w:rPr>
                <w:rFonts w:hAnsi="仿宋" w:eastAsia="仿宋"/>
                <w:sz w:val="21"/>
                <w:szCs w:val="21"/>
              </w:rPr>
              <w:t>市工信、市生态环境、市人社局</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5.6%</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8</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危化处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40" w:type="dxa"/>
            <w:vAlign w:val="center"/>
          </w:tcPr>
          <w:p>
            <w:pPr>
              <w:spacing w:line="240" w:lineRule="exact"/>
              <w:ind w:firstLine="0"/>
              <w:jc w:val="center"/>
              <w:rPr>
                <w:rFonts w:eastAsia="仿宋"/>
                <w:sz w:val="21"/>
                <w:szCs w:val="21"/>
              </w:rPr>
            </w:pPr>
            <w:r>
              <w:rPr>
                <w:rFonts w:eastAsia="仿宋"/>
                <w:sz w:val="21"/>
                <w:szCs w:val="21"/>
              </w:rPr>
              <w:t>5</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危险化学品其他有储存经营企业</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20%</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10</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危化处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0" w:type="dxa"/>
            <w:vAlign w:val="center"/>
          </w:tcPr>
          <w:p>
            <w:pPr>
              <w:spacing w:line="240" w:lineRule="exact"/>
              <w:ind w:firstLine="0"/>
              <w:jc w:val="center"/>
              <w:rPr>
                <w:rFonts w:eastAsia="仿宋"/>
                <w:sz w:val="21"/>
                <w:szCs w:val="21"/>
              </w:rPr>
            </w:pPr>
            <w:r>
              <w:rPr>
                <w:rFonts w:eastAsia="仿宋"/>
                <w:sz w:val="21"/>
                <w:szCs w:val="21"/>
              </w:rPr>
              <w:t>6</w:t>
            </w:r>
          </w:p>
        </w:tc>
        <w:tc>
          <w:tcPr>
            <w:tcW w:w="2545" w:type="dxa"/>
            <w:vAlign w:val="center"/>
          </w:tcPr>
          <w:p>
            <w:pPr>
              <w:spacing w:line="240" w:lineRule="exact"/>
              <w:ind w:firstLine="0"/>
              <w:jc w:val="left"/>
              <w:rPr>
                <w:rFonts w:eastAsia="仿宋"/>
                <w:sz w:val="21"/>
                <w:szCs w:val="21"/>
              </w:rPr>
            </w:pPr>
            <w:r>
              <w:rPr>
                <w:rFonts w:hAnsi="仿宋" w:eastAsia="仿宋"/>
                <w:sz w:val="21"/>
                <w:szCs w:val="21"/>
              </w:rPr>
              <w:t>非煤矿山</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12.5%</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3</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基础处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0" w:type="dxa"/>
            <w:vAlign w:val="center"/>
          </w:tcPr>
          <w:p>
            <w:pPr>
              <w:spacing w:line="240" w:lineRule="exact"/>
              <w:ind w:firstLine="0"/>
              <w:jc w:val="center"/>
              <w:rPr>
                <w:rFonts w:eastAsia="仿宋"/>
                <w:sz w:val="21"/>
                <w:szCs w:val="21"/>
              </w:rPr>
            </w:pPr>
            <w:r>
              <w:rPr>
                <w:rFonts w:eastAsia="仿宋"/>
                <w:sz w:val="21"/>
                <w:szCs w:val="21"/>
              </w:rPr>
              <w:t>7</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冶金等工贸涉爆粉尘企业</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0.25%</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3</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基础处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0" w:type="dxa"/>
            <w:vAlign w:val="center"/>
          </w:tcPr>
          <w:p>
            <w:pPr>
              <w:spacing w:line="240" w:lineRule="exact"/>
              <w:ind w:firstLine="0"/>
              <w:jc w:val="center"/>
              <w:rPr>
                <w:rFonts w:eastAsia="仿宋"/>
                <w:sz w:val="21"/>
                <w:szCs w:val="21"/>
              </w:rPr>
            </w:pPr>
            <w:r>
              <w:rPr>
                <w:rFonts w:eastAsia="仿宋"/>
                <w:sz w:val="21"/>
                <w:szCs w:val="21"/>
              </w:rPr>
              <w:t>8</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冶金等工贸高温熔融企业</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0.02%</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4</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基础处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0" w:type="dxa"/>
            <w:vAlign w:val="center"/>
          </w:tcPr>
          <w:p>
            <w:pPr>
              <w:spacing w:line="240" w:lineRule="exact"/>
              <w:ind w:firstLine="0"/>
              <w:jc w:val="center"/>
              <w:rPr>
                <w:rFonts w:eastAsia="仿宋"/>
                <w:sz w:val="21"/>
                <w:szCs w:val="21"/>
              </w:rPr>
            </w:pPr>
            <w:r>
              <w:rPr>
                <w:rFonts w:eastAsia="仿宋"/>
                <w:sz w:val="21"/>
                <w:szCs w:val="21"/>
              </w:rPr>
              <w:t>9</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冶金等工贸安全风险报告企业</w:t>
            </w:r>
          </w:p>
        </w:tc>
        <w:tc>
          <w:tcPr>
            <w:tcW w:w="709" w:type="dxa"/>
            <w:vAlign w:val="center"/>
          </w:tcPr>
          <w:p>
            <w:pPr>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0.0001%</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5</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基础处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0" w:type="dxa"/>
            <w:vAlign w:val="center"/>
          </w:tcPr>
          <w:p>
            <w:pPr>
              <w:spacing w:line="240" w:lineRule="exact"/>
              <w:ind w:firstLine="0"/>
              <w:jc w:val="center"/>
              <w:rPr>
                <w:rFonts w:eastAsia="仿宋"/>
                <w:sz w:val="21"/>
                <w:szCs w:val="21"/>
              </w:rPr>
            </w:pPr>
            <w:r>
              <w:rPr>
                <w:rFonts w:eastAsia="仿宋"/>
                <w:sz w:val="21"/>
                <w:szCs w:val="21"/>
              </w:rPr>
              <w:t>10</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冶金等工贸有限空间作业企业</w:t>
            </w:r>
          </w:p>
        </w:tc>
        <w:tc>
          <w:tcPr>
            <w:tcW w:w="709" w:type="dxa"/>
            <w:vAlign w:val="center"/>
          </w:tcPr>
          <w:p>
            <w:pPr>
              <w:ind w:firstLine="0"/>
              <w:jc w:val="center"/>
              <w:rPr>
                <w:rFonts w:eastAsia="仿宋"/>
                <w:sz w:val="21"/>
                <w:szCs w:val="21"/>
              </w:rPr>
            </w:pPr>
            <w:r>
              <w:rPr>
                <w:rFonts w:hAnsi="仿宋" w:eastAsia="仿宋"/>
                <w:sz w:val="21"/>
                <w:szCs w:val="21"/>
              </w:rPr>
              <w:t>否</w:t>
            </w:r>
          </w:p>
        </w:tc>
        <w:tc>
          <w:tcPr>
            <w:tcW w:w="992" w:type="dxa"/>
            <w:gridSpan w:val="2"/>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0.001%</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9" w:type="dxa"/>
            <w:vAlign w:val="center"/>
          </w:tcPr>
          <w:p>
            <w:pPr>
              <w:spacing w:line="240" w:lineRule="exact"/>
              <w:ind w:firstLine="0"/>
              <w:jc w:val="center"/>
              <w:rPr>
                <w:rFonts w:eastAsia="仿宋"/>
                <w:sz w:val="21"/>
                <w:szCs w:val="21"/>
              </w:rPr>
            </w:pPr>
            <w:r>
              <w:rPr>
                <w:rFonts w:hAnsi="仿宋" w:eastAsia="仿宋"/>
                <w:sz w:val="21"/>
                <w:szCs w:val="21"/>
              </w:rPr>
              <w:t>是</w:t>
            </w:r>
          </w:p>
        </w:tc>
        <w:tc>
          <w:tcPr>
            <w:tcW w:w="879" w:type="dxa"/>
            <w:gridSpan w:val="2"/>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7</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基础处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40" w:type="dxa"/>
            <w:vMerge w:val="restart"/>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序号</w:t>
            </w:r>
          </w:p>
        </w:tc>
        <w:tc>
          <w:tcPr>
            <w:tcW w:w="2545" w:type="dxa"/>
            <w:vMerge w:val="restart"/>
            <w:vAlign w:val="center"/>
          </w:tcPr>
          <w:p>
            <w:pPr>
              <w:spacing w:line="240" w:lineRule="exact"/>
              <w:ind w:firstLine="0"/>
              <w:jc w:val="center"/>
              <w:rPr>
                <w:rFonts w:ascii="黑体" w:hAnsi="黑体" w:eastAsia="黑体" w:cs="仿宋"/>
                <w:sz w:val="21"/>
                <w:szCs w:val="21"/>
              </w:rPr>
            </w:pP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抽查计划名称</w:t>
            </w:r>
          </w:p>
        </w:tc>
        <w:tc>
          <w:tcPr>
            <w:tcW w:w="1701" w:type="dxa"/>
            <w:gridSpan w:val="3"/>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是否联合</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检查</w:t>
            </w:r>
          </w:p>
        </w:tc>
        <w:tc>
          <w:tcPr>
            <w:tcW w:w="851" w:type="dxa"/>
            <w:vMerge w:val="restart"/>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事项类别</w:t>
            </w:r>
          </w:p>
        </w:tc>
        <w:tc>
          <w:tcPr>
            <w:tcW w:w="850" w:type="dxa"/>
            <w:vMerge w:val="restart"/>
            <w:vAlign w:val="center"/>
          </w:tcPr>
          <w:p>
            <w:pPr>
              <w:spacing w:line="240" w:lineRule="exact"/>
              <w:ind w:firstLine="0"/>
              <w:jc w:val="center"/>
              <w:rPr>
                <w:rFonts w:hint="eastAsia" w:ascii="黑体" w:hAnsi="黑体" w:eastAsia="黑体" w:cs="仿宋"/>
                <w:sz w:val="21"/>
                <w:szCs w:val="21"/>
              </w:rPr>
            </w:pPr>
            <w:r>
              <w:rPr>
                <w:rFonts w:hint="eastAsia" w:ascii="黑体" w:hAnsi="黑体" w:eastAsia="黑体" w:cs="仿宋"/>
                <w:sz w:val="21"/>
                <w:szCs w:val="21"/>
              </w:rPr>
              <w:t>抽查</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比例</w:t>
            </w:r>
          </w:p>
        </w:tc>
        <w:tc>
          <w:tcPr>
            <w:tcW w:w="1134" w:type="dxa"/>
            <w:vMerge w:val="restart"/>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抽查</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频次</w:t>
            </w:r>
          </w:p>
        </w:tc>
        <w:tc>
          <w:tcPr>
            <w:tcW w:w="851" w:type="dxa"/>
            <w:vMerge w:val="restart"/>
            <w:vAlign w:val="center"/>
          </w:tcPr>
          <w:p>
            <w:pPr>
              <w:spacing w:line="240" w:lineRule="exact"/>
              <w:ind w:firstLine="0"/>
              <w:jc w:val="center"/>
              <w:rPr>
                <w:rFonts w:ascii="黑体" w:hAnsi="黑体" w:eastAsia="黑体" w:cs="仿宋"/>
                <w:sz w:val="21"/>
                <w:szCs w:val="21"/>
              </w:rPr>
            </w:pP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抽查</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方式</w:t>
            </w:r>
          </w:p>
        </w:tc>
        <w:tc>
          <w:tcPr>
            <w:tcW w:w="708" w:type="dxa"/>
            <w:vMerge w:val="restart"/>
            <w:vAlign w:val="center"/>
          </w:tcPr>
          <w:p>
            <w:pPr>
              <w:spacing w:line="240" w:lineRule="exact"/>
              <w:ind w:firstLine="0"/>
              <w:jc w:val="center"/>
              <w:rPr>
                <w:rFonts w:ascii="黑体" w:hAnsi="黑体" w:eastAsia="黑体" w:cs="仿宋"/>
                <w:sz w:val="21"/>
                <w:szCs w:val="21"/>
              </w:rPr>
            </w:pP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抽查</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主体</w:t>
            </w:r>
          </w:p>
        </w:tc>
        <w:tc>
          <w:tcPr>
            <w:tcW w:w="1588" w:type="dxa"/>
            <w:gridSpan w:val="3"/>
            <w:vAlign w:val="center"/>
          </w:tcPr>
          <w:p>
            <w:pPr>
              <w:spacing w:line="240" w:lineRule="exact"/>
              <w:ind w:firstLine="0"/>
              <w:jc w:val="center"/>
              <w:rPr>
                <w:rFonts w:hint="eastAsia" w:ascii="黑体" w:hAnsi="黑体" w:eastAsia="黑体" w:cs="仿宋"/>
                <w:sz w:val="21"/>
                <w:szCs w:val="21"/>
              </w:rPr>
            </w:pPr>
            <w:r>
              <w:rPr>
                <w:rFonts w:hint="eastAsia" w:ascii="黑体" w:hAnsi="黑体" w:eastAsia="黑体" w:cs="仿宋"/>
                <w:sz w:val="21"/>
                <w:szCs w:val="21"/>
              </w:rPr>
              <w:t>是否需要</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辅助人员</w:t>
            </w:r>
          </w:p>
        </w:tc>
        <w:tc>
          <w:tcPr>
            <w:tcW w:w="822" w:type="dxa"/>
            <w:vMerge w:val="restart"/>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完成</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时限</w:t>
            </w:r>
          </w:p>
        </w:tc>
        <w:tc>
          <w:tcPr>
            <w:tcW w:w="851" w:type="dxa"/>
            <w:vMerge w:val="restart"/>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责任</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部门</w:t>
            </w:r>
          </w:p>
        </w:tc>
        <w:tc>
          <w:tcPr>
            <w:tcW w:w="850" w:type="dxa"/>
            <w:vMerge w:val="restart"/>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抽取</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0" w:type="dxa"/>
            <w:vMerge w:val="continue"/>
            <w:vAlign w:val="center"/>
          </w:tcPr>
          <w:p>
            <w:pPr>
              <w:spacing w:line="240" w:lineRule="exact"/>
              <w:ind w:firstLine="0"/>
              <w:jc w:val="center"/>
              <w:rPr>
                <w:rFonts w:ascii="仿宋" w:hAnsi="仿宋" w:eastAsia="仿宋" w:cs="仿宋"/>
                <w:sz w:val="21"/>
                <w:szCs w:val="21"/>
              </w:rPr>
            </w:pPr>
          </w:p>
        </w:tc>
        <w:tc>
          <w:tcPr>
            <w:tcW w:w="2545" w:type="dxa"/>
            <w:vMerge w:val="continue"/>
            <w:vAlign w:val="center"/>
          </w:tcPr>
          <w:p>
            <w:pPr>
              <w:spacing w:line="240" w:lineRule="exact"/>
              <w:ind w:firstLine="0"/>
              <w:jc w:val="left"/>
              <w:rPr>
                <w:rFonts w:ascii="仿宋" w:hAnsi="仿宋" w:eastAsia="仿宋" w:cs="仿宋"/>
                <w:sz w:val="21"/>
                <w:szCs w:val="21"/>
              </w:rPr>
            </w:pPr>
          </w:p>
        </w:tc>
        <w:tc>
          <w:tcPr>
            <w:tcW w:w="738" w:type="dxa"/>
            <w:gridSpan w:val="2"/>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是或否</w:t>
            </w:r>
          </w:p>
        </w:tc>
        <w:tc>
          <w:tcPr>
            <w:tcW w:w="963" w:type="dxa"/>
            <w:vAlign w:val="center"/>
          </w:tcPr>
          <w:p>
            <w:pPr>
              <w:spacing w:line="240" w:lineRule="exact"/>
              <w:ind w:firstLine="0"/>
              <w:jc w:val="center"/>
              <w:rPr>
                <w:rFonts w:hint="eastAsia" w:ascii="黑体" w:hAnsi="黑体" w:eastAsia="黑体" w:cs="仿宋"/>
                <w:sz w:val="21"/>
                <w:szCs w:val="21"/>
              </w:rPr>
            </w:pPr>
            <w:r>
              <w:rPr>
                <w:rFonts w:hint="eastAsia" w:ascii="黑体" w:hAnsi="黑体" w:eastAsia="黑体" w:cs="仿宋"/>
                <w:sz w:val="21"/>
                <w:szCs w:val="21"/>
              </w:rPr>
              <w:t>联合</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部门</w:t>
            </w:r>
          </w:p>
        </w:tc>
        <w:tc>
          <w:tcPr>
            <w:tcW w:w="851" w:type="dxa"/>
            <w:vMerge w:val="continue"/>
            <w:vAlign w:val="center"/>
          </w:tcPr>
          <w:p>
            <w:pPr>
              <w:spacing w:line="240" w:lineRule="exact"/>
              <w:ind w:firstLine="0"/>
              <w:jc w:val="left"/>
              <w:rPr>
                <w:rFonts w:ascii="仿宋" w:hAnsi="仿宋" w:eastAsia="仿宋" w:cs="仿宋"/>
                <w:sz w:val="21"/>
                <w:szCs w:val="21"/>
              </w:rPr>
            </w:pPr>
          </w:p>
        </w:tc>
        <w:tc>
          <w:tcPr>
            <w:tcW w:w="850" w:type="dxa"/>
            <w:vMerge w:val="continue"/>
            <w:vAlign w:val="center"/>
          </w:tcPr>
          <w:p>
            <w:pPr>
              <w:spacing w:line="240" w:lineRule="exact"/>
              <w:ind w:firstLine="0"/>
              <w:jc w:val="center"/>
              <w:rPr>
                <w:rFonts w:ascii="仿宋" w:hAnsi="仿宋" w:eastAsia="仿宋" w:cs="仿宋"/>
                <w:sz w:val="21"/>
                <w:szCs w:val="21"/>
              </w:rPr>
            </w:pPr>
          </w:p>
        </w:tc>
        <w:tc>
          <w:tcPr>
            <w:tcW w:w="1134" w:type="dxa"/>
            <w:vMerge w:val="continue"/>
            <w:vAlign w:val="center"/>
          </w:tcPr>
          <w:p>
            <w:pPr>
              <w:spacing w:line="240" w:lineRule="exact"/>
              <w:ind w:firstLine="0"/>
              <w:jc w:val="center"/>
              <w:rPr>
                <w:rFonts w:ascii="仿宋" w:hAnsi="仿宋" w:eastAsia="仿宋" w:cs="仿宋"/>
                <w:sz w:val="21"/>
                <w:szCs w:val="21"/>
              </w:rPr>
            </w:pPr>
          </w:p>
        </w:tc>
        <w:tc>
          <w:tcPr>
            <w:tcW w:w="851" w:type="dxa"/>
            <w:vMerge w:val="continue"/>
            <w:vAlign w:val="center"/>
          </w:tcPr>
          <w:p>
            <w:pPr>
              <w:spacing w:line="240" w:lineRule="exact"/>
              <w:ind w:firstLine="0"/>
              <w:jc w:val="center"/>
              <w:rPr>
                <w:rFonts w:ascii="仿宋" w:hAnsi="仿宋" w:eastAsia="仿宋" w:cs="仿宋"/>
                <w:sz w:val="21"/>
                <w:szCs w:val="21"/>
              </w:rPr>
            </w:pPr>
          </w:p>
        </w:tc>
        <w:tc>
          <w:tcPr>
            <w:tcW w:w="708" w:type="dxa"/>
            <w:vMerge w:val="continue"/>
            <w:vAlign w:val="center"/>
          </w:tcPr>
          <w:p>
            <w:pPr>
              <w:spacing w:line="240" w:lineRule="exact"/>
              <w:ind w:firstLine="0"/>
              <w:jc w:val="center"/>
              <w:rPr>
                <w:rFonts w:ascii="仿宋" w:hAnsi="仿宋" w:eastAsia="仿宋" w:cs="仿宋"/>
                <w:sz w:val="21"/>
                <w:szCs w:val="21"/>
              </w:rPr>
            </w:pPr>
          </w:p>
        </w:tc>
        <w:tc>
          <w:tcPr>
            <w:tcW w:w="738" w:type="dxa"/>
            <w:gridSpan w:val="2"/>
            <w:vAlign w:val="center"/>
          </w:tcPr>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是或否</w:t>
            </w:r>
          </w:p>
        </w:tc>
        <w:tc>
          <w:tcPr>
            <w:tcW w:w="850" w:type="dxa"/>
            <w:vAlign w:val="center"/>
          </w:tcPr>
          <w:p>
            <w:pPr>
              <w:spacing w:line="240" w:lineRule="exact"/>
              <w:ind w:firstLine="0"/>
              <w:jc w:val="center"/>
              <w:rPr>
                <w:rFonts w:hint="eastAsia" w:ascii="黑体" w:hAnsi="黑体" w:eastAsia="黑体" w:cs="仿宋"/>
                <w:sz w:val="21"/>
                <w:szCs w:val="21"/>
              </w:rPr>
            </w:pPr>
            <w:r>
              <w:rPr>
                <w:rFonts w:hint="eastAsia" w:ascii="黑体" w:hAnsi="黑体" w:eastAsia="黑体" w:cs="仿宋"/>
                <w:sz w:val="21"/>
                <w:szCs w:val="21"/>
              </w:rPr>
              <w:t>辅助</w:t>
            </w:r>
          </w:p>
          <w:p>
            <w:pPr>
              <w:spacing w:line="240" w:lineRule="exact"/>
              <w:ind w:firstLine="0"/>
              <w:jc w:val="center"/>
              <w:rPr>
                <w:rFonts w:ascii="黑体" w:hAnsi="黑体" w:eastAsia="黑体" w:cs="仿宋"/>
                <w:sz w:val="21"/>
                <w:szCs w:val="21"/>
              </w:rPr>
            </w:pPr>
            <w:r>
              <w:rPr>
                <w:rFonts w:hint="eastAsia" w:ascii="黑体" w:hAnsi="黑体" w:eastAsia="黑体" w:cs="仿宋"/>
                <w:sz w:val="21"/>
                <w:szCs w:val="21"/>
              </w:rPr>
              <w:t>人员</w:t>
            </w:r>
          </w:p>
        </w:tc>
        <w:tc>
          <w:tcPr>
            <w:tcW w:w="822" w:type="dxa"/>
            <w:vMerge w:val="continue"/>
            <w:vAlign w:val="center"/>
          </w:tcPr>
          <w:p>
            <w:pPr>
              <w:spacing w:line="240" w:lineRule="exact"/>
              <w:ind w:firstLine="0"/>
              <w:jc w:val="left"/>
              <w:rPr>
                <w:rFonts w:ascii="仿宋" w:hAnsi="仿宋" w:eastAsia="仿宋" w:cs="仿宋"/>
                <w:sz w:val="21"/>
                <w:szCs w:val="21"/>
              </w:rPr>
            </w:pPr>
          </w:p>
        </w:tc>
        <w:tc>
          <w:tcPr>
            <w:tcW w:w="851" w:type="dxa"/>
            <w:vMerge w:val="continue"/>
            <w:vAlign w:val="center"/>
          </w:tcPr>
          <w:p>
            <w:pPr>
              <w:spacing w:line="240" w:lineRule="exact"/>
              <w:ind w:firstLine="0"/>
              <w:jc w:val="left"/>
              <w:rPr>
                <w:rFonts w:ascii="仿宋" w:hAnsi="仿宋" w:eastAsia="仿宋" w:cs="仿宋"/>
                <w:sz w:val="21"/>
                <w:szCs w:val="21"/>
              </w:rPr>
            </w:pPr>
          </w:p>
        </w:tc>
        <w:tc>
          <w:tcPr>
            <w:tcW w:w="850" w:type="dxa"/>
            <w:vMerge w:val="continue"/>
            <w:vAlign w:val="center"/>
          </w:tcPr>
          <w:p>
            <w:pPr>
              <w:spacing w:line="240" w:lineRule="exact"/>
              <w:ind w:firstLine="0"/>
              <w:jc w:val="lef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40" w:type="dxa"/>
            <w:vAlign w:val="center"/>
          </w:tcPr>
          <w:p>
            <w:pPr>
              <w:spacing w:line="240" w:lineRule="exact"/>
              <w:ind w:firstLine="0"/>
              <w:jc w:val="center"/>
              <w:rPr>
                <w:rFonts w:eastAsia="仿宋"/>
                <w:sz w:val="21"/>
                <w:szCs w:val="21"/>
              </w:rPr>
            </w:pPr>
            <w:r>
              <w:rPr>
                <w:rFonts w:eastAsia="仿宋"/>
                <w:sz w:val="21"/>
                <w:szCs w:val="21"/>
              </w:rPr>
              <w:t>11</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冶金等工贸使用危险化学品企业</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是</w:t>
            </w:r>
          </w:p>
        </w:tc>
        <w:tc>
          <w:tcPr>
            <w:tcW w:w="963" w:type="dxa"/>
            <w:vAlign w:val="center"/>
          </w:tcPr>
          <w:p>
            <w:pPr>
              <w:spacing w:line="240" w:lineRule="exact"/>
              <w:ind w:firstLine="0"/>
              <w:jc w:val="center"/>
              <w:rPr>
                <w:rFonts w:eastAsia="仿宋"/>
                <w:sz w:val="21"/>
                <w:szCs w:val="21"/>
              </w:rPr>
            </w:pPr>
            <w:r>
              <w:rPr>
                <w:rFonts w:hAnsi="仿宋" w:eastAsia="仿宋"/>
                <w:sz w:val="21"/>
                <w:szCs w:val="21"/>
              </w:rPr>
              <w:t>市工信、市生态环境、市市场</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0.002%</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是</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8</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基础处</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40" w:type="dxa"/>
            <w:vAlign w:val="center"/>
          </w:tcPr>
          <w:p>
            <w:pPr>
              <w:spacing w:line="240" w:lineRule="exact"/>
              <w:ind w:firstLine="0"/>
              <w:jc w:val="center"/>
              <w:rPr>
                <w:rFonts w:eastAsia="仿宋"/>
                <w:sz w:val="21"/>
                <w:szCs w:val="21"/>
              </w:rPr>
            </w:pPr>
            <w:r>
              <w:rPr>
                <w:rFonts w:eastAsia="仿宋"/>
                <w:sz w:val="21"/>
                <w:szCs w:val="21"/>
              </w:rPr>
              <w:t>12</w:t>
            </w:r>
          </w:p>
        </w:tc>
        <w:tc>
          <w:tcPr>
            <w:tcW w:w="2545" w:type="dxa"/>
            <w:vAlign w:val="center"/>
          </w:tcPr>
          <w:p>
            <w:pPr>
              <w:spacing w:line="240" w:lineRule="exact"/>
              <w:ind w:firstLine="0"/>
              <w:jc w:val="left"/>
              <w:rPr>
                <w:rFonts w:eastAsia="仿宋"/>
                <w:sz w:val="21"/>
                <w:szCs w:val="21"/>
              </w:rPr>
            </w:pPr>
            <w:r>
              <w:rPr>
                <w:rFonts w:hAnsi="仿宋" w:eastAsia="仿宋"/>
                <w:sz w:val="21"/>
                <w:szCs w:val="21"/>
              </w:rPr>
              <w:t>使用、储存危险化学品企业</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否</w:t>
            </w:r>
          </w:p>
        </w:tc>
        <w:tc>
          <w:tcPr>
            <w:tcW w:w="963" w:type="dxa"/>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15.3%</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是</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专家</w:t>
            </w:r>
          </w:p>
        </w:tc>
        <w:tc>
          <w:tcPr>
            <w:tcW w:w="822" w:type="dxa"/>
            <w:vAlign w:val="center"/>
          </w:tcPr>
          <w:p>
            <w:pPr>
              <w:spacing w:line="240" w:lineRule="exact"/>
              <w:ind w:firstLine="0"/>
              <w:jc w:val="center"/>
              <w:rPr>
                <w:rFonts w:eastAsia="仿宋"/>
                <w:sz w:val="21"/>
                <w:szCs w:val="21"/>
              </w:rPr>
            </w:pPr>
            <w:r>
              <w:rPr>
                <w:rFonts w:eastAsia="仿宋"/>
                <w:sz w:val="21"/>
                <w:szCs w:val="21"/>
              </w:rPr>
              <w:t>3</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市安全生产监察支队</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40" w:type="dxa"/>
            <w:vAlign w:val="center"/>
          </w:tcPr>
          <w:p>
            <w:pPr>
              <w:spacing w:line="240" w:lineRule="exact"/>
              <w:ind w:firstLine="0"/>
              <w:jc w:val="center"/>
              <w:rPr>
                <w:rFonts w:eastAsia="仿宋"/>
                <w:sz w:val="21"/>
                <w:szCs w:val="21"/>
              </w:rPr>
            </w:pPr>
            <w:r>
              <w:rPr>
                <w:rFonts w:eastAsia="仿宋"/>
                <w:sz w:val="21"/>
                <w:szCs w:val="21"/>
              </w:rPr>
              <w:t>13</w:t>
            </w:r>
          </w:p>
        </w:tc>
        <w:tc>
          <w:tcPr>
            <w:tcW w:w="2545" w:type="dxa"/>
            <w:vAlign w:val="center"/>
          </w:tcPr>
          <w:p>
            <w:pPr>
              <w:spacing w:line="240" w:lineRule="exact"/>
              <w:ind w:firstLine="0"/>
              <w:jc w:val="left"/>
              <w:rPr>
                <w:rFonts w:eastAsia="仿宋"/>
                <w:sz w:val="21"/>
                <w:szCs w:val="21"/>
              </w:rPr>
            </w:pPr>
            <w:r>
              <w:rPr>
                <w:rFonts w:hAnsi="仿宋" w:eastAsia="仿宋"/>
                <w:sz w:val="21"/>
                <w:szCs w:val="21"/>
              </w:rPr>
              <w:t>单班作业</w:t>
            </w:r>
            <w:r>
              <w:rPr>
                <w:rFonts w:eastAsia="仿宋"/>
                <w:sz w:val="21"/>
                <w:szCs w:val="21"/>
              </w:rPr>
              <w:t>10</w:t>
            </w:r>
            <w:r>
              <w:rPr>
                <w:rFonts w:hAnsi="仿宋" w:eastAsia="仿宋"/>
                <w:sz w:val="21"/>
                <w:szCs w:val="21"/>
              </w:rPr>
              <w:t>人以上涉爆粉尘企业</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是</w:t>
            </w:r>
          </w:p>
        </w:tc>
        <w:tc>
          <w:tcPr>
            <w:tcW w:w="963" w:type="dxa"/>
            <w:vAlign w:val="center"/>
          </w:tcPr>
          <w:p>
            <w:pPr>
              <w:spacing w:line="240" w:lineRule="exact"/>
              <w:ind w:firstLine="0"/>
              <w:jc w:val="center"/>
              <w:rPr>
                <w:rFonts w:eastAsia="仿宋"/>
                <w:sz w:val="21"/>
                <w:szCs w:val="21"/>
              </w:rPr>
            </w:pPr>
            <w:r>
              <w:rPr>
                <w:rFonts w:hAnsi="仿宋" w:eastAsia="仿宋"/>
                <w:sz w:val="21"/>
                <w:szCs w:val="21"/>
              </w:rPr>
              <w:t>市生态环境</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22.2%</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是</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822" w:type="dxa"/>
            <w:vAlign w:val="center"/>
          </w:tcPr>
          <w:p>
            <w:pPr>
              <w:spacing w:line="240" w:lineRule="exact"/>
              <w:ind w:firstLine="0"/>
              <w:jc w:val="center"/>
              <w:rPr>
                <w:rFonts w:eastAsia="仿宋"/>
                <w:sz w:val="21"/>
                <w:szCs w:val="21"/>
              </w:rPr>
            </w:pPr>
            <w:r>
              <w:rPr>
                <w:rFonts w:eastAsia="仿宋"/>
                <w:sz w:val="21"/>
                <w:szCs w:val="21"/>
              </w:rPr>
              <w:t>6</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市安全生产监察支队</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0" w:type="dxa"/>
            <w:vAlign w:val="center"/>
          </w:tcPr>
          <w:p>
            <w:pPr>
              <w:spacing w:line="240" w:lineRule="exact"/>
              <w:ind w:firstLine="0"/>
              <w:jc w:val="center"/>
              <w:rPr>
                <w:rFonts w:eastAsia="仿宋"/>
                <w:sz w:val="21"/>
                <w:szCs w:val="21"/>
              </w:rPr>
            </w:pPr>
            <w:r>
              <w:rPr>
                <w:rFonts w:eastAsia="仿宋"/>
                <w:sz w:val="21"/>
                <w:szCs w:val="21"/>
              </w:rPr>
              <w:t>14</w:t>
            </w:r>
          </w:p>
        </w:tc>
        <w:tc>
          <w:tcPr>
            <w:tcW w:w="2545" w:type="dxa"/>
            <w:vAlign w:val="center"/>
          </w:tcPr>
          <w:p>
            <w:pPr>
              <w:spacing w:line="240" w:lineRule="exact"/>
              <w:ind w:firstLine="0"/>
              <w:jc w:val="left"/>
              <w:rPr>
                <w:rFonts w:eastAsia="仿宋"/>
                <w:sz w:val="21"/>
                <w:szCs w:val="21"/>
              </w:rPr>
            </w:pPr>
            <w:r>
              <w:rPr>
                <w:rFonts w:hAnsi="仿宋" w:eastAsia="仿宋"/>
                <w:sz w:val="21"/>
                <w:szCs w:val="21"/>
              </w:rPr>
              <w:t>铝加工（深井铸造）企业</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否</w:t>
            </w:r>
          </w:p>
        </w:tc>
        <w:tc>
          <w:tcPr>
            <w:tcW w:w="963" w:type="dxa"/>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54.3%</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是</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822" w:type="dxa"/>
            <w:vAlign w:val="center"/>
          </w:tcPr>
          <w:p>
            <w:pPr>
              <w:spacing w:line="240" w:lineRule="exact"/>
              <w:ind w:firstLine="0"/>
              <w:jc w:val="center"/>
              <w:rPr>
                <w:rFonts w:eastAsia="仿宋"/>
                <w:sz w:val="21"/>
                <w:szCs w:val="21"/>
              </w:rPr>
            </w:pPr>
            <w:r>
              <w:rPr>
                <w:rFonts w:eastAsia="仿宋"/>
                <w:sz w:val="21"/>
                <w:szCs w:val="21"/>
              </w:rPr>
              <w:t>9</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市安全生产监察支队</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40" w:type="dxa"/>
            <w:vAlign w:val="center"/>
          </w:tcPr>
          <w:p>
            <w:pPr>
              <w:spacing w:line="240" w:lineRule="exact"/>
              <w:ind w:firstLine="0"/>
              <w:jc w:val="center"/>
              <w:rPr>
                <w:rFonts w:eastAsia="仿宋"/>
                <w:sz w:val="21"/>
                <w:szCs w:val="21"/>
              </w:rPr>
            </w:pPr>
            <w:r>
              <w:rPr>
                <w:rFonts w:eastAsia="仿宋"/>
                <w:sz w:val="21"/>
                <w:szCs w:val="21"/>
              </w:rPr>
              <w:t>15</w:t>
            </w:r>
          </w:p>
        </w:tc>
        <w:tc>
          <w:tcPr>
            <w:tcW w:w="2545" w:type="dxa"/>
            <w:vAlign w:val="center"/>
          </w:tcPr>
          <w:p>
            <w:pPr>
              <w:spacing w:line="240" w:lineRule="exact"/>
              <w:ind w:firstLine="0"/>
              <w:jc w:val="left"/>
              <w:rPr>
                <w:rFonts w:eastAsia="仿宋"/>
                <w:sz w:val="21"/>
                <w:szCs w:val="21"/>
              </w:rPr>
            </w:pPr>
            <w:r>
              <w:rPr>
                <w:rFonts w:hAnsi="仿宋" w:eastAsia="仿宋"/>
                <w:sz w:val="21"/>
                <w:szCs w:val="21"/>
              </w:rPr>
              <w:t>涉及有限空间作业企业</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否</w:t>
            </w:r>
          </w:p>
        </w:tc>
        <w:tc>
          <w:tcPr>
            <w:tcW w:w="963" w:type="dxa"/>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5.6%</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是</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822" w:type="dxa"/>
            <w:vAlign w:val="center"/>
          </w:tcPr>
          <w:p>
            <w:pPr>
              <w:spacing w:line="240" w:lineRule="exact"/>
              <w:ind w:firstLine="0"/>
              <w:jc w:val="center"/>
              <w:rPr>
                <w:rFonts w:eastAsia="仿宋"/>
                <w:sz w:val="21"/>
                <w:szCs w:val="21"/>
              </w:rPr>
            </w:pPr>
            <w:r>
              <w:rPr>
                <w:rFonts w:eastAsia="仿宋"/>
                <w:sz w:val="21"/>
                <w:szCs w:val="21"/>
              </w:rPr>
              <w:t>11</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市安全生产监察支队</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40" w:type="dxa"/>
            <w:vAlign w:val="center"/>
          </w:tcPr>
          <w:p>
            <w:pPr>
              <w:spacing w:line="240" w:lineRule="exact"/>
              <w:ind w:firstLine="0"/>
              <w:jc w:val="center"/>
              <w:rPr>
                <w:rFonts w:eastAsia="仿宋"/>
                <w:sz w:val="21"/>
                <w:szCs w:val="21"/>
              </w:rPr>
            </w:pPr>
            <w:r>
              <w:rPr>
                <w:rFonts w:eastAsia="仿宋"/>
                <w:sz w:val="21"/>
                <w:szCs w:val="21"/>
              </w:rPr>
              <w:t>16</w:t>
            </w:r>
          </w:p>
        </w:tc>
        <w:tc>
          <w:tcPr>
            <w:tcW w:w="2545" w:type="dxa"/>
            <w:vAlign w:val="center"/>
          </w:tcPr>
          <w:p>
            <w:pPr>
              <w:spacing w:line="240" w:lineRule="exact"/>
              <w:ind w:firstLine="0"/>
              <w:jc w:val="left"/>
              <w:rPr>
                <w:rFonts w:eastAsia="仿宋"/>
                <w:sz w:val="21"/>
                <w:szCs w:val="21"/>
              </w:rPr>
            </w:pPr>
            <w:r>
              <w:rPr>
                <w:rFonts w:hAnsi="仿宋" w:eastAsia="仿宋"/>
                <w:sz w:val="21"/>
                <w:szCs w:val="21"/>
              </w:rPr>
              <w:t>上述四类企业未创建安全生产标准化及未建立安全风险分级管控和隐患排查治理双重预防机制</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否</w:t>
            </w:r>
          </w:p>
        </w:tc>
        <w:tc>
          <w:tcPr>
            <w:tcW w:w="963" w:type="dxa"/>
            <w:vAlign w:val="center"/>
          </w:tcPr>
          <w:p>
            <w:pPr>
              <w:spacing w:line="240" w:lineRule="exact"/>
              <w:ind w:firstLine="0"/>
              <w:jc w:val="center"/>
              <w:rPr>
                <w:rFonts w:eastAsia="仿宋"/>
                <w:sz w:val="21"/>
                <w:szCs w:val="21"/>
              </w:rPr>
            </w:pPr>
            <w:r>
              <w:rPr>
                <w:rFonts w:eastAsia="仿宋"/>
                <w:sz w:val="21"/>
                <w:szCs w:val="21"/>
              </w:rPr>
              <w:t>/</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重点</w:t>
            </w:r>
          </w:p>
        </w:tc>
        <w:tc>
          <w:tcPr>
            <w:tcW w:w="850" w:type="dxa"/>
            <w:vAlign w:val="center"/>
          </w:tcPr>
          <w:p>
            <w:pPr>
              <w:spacing w:line="240" w:lineRule="exact"/>
              <w:ind w:firstLine="0"/>
              <w:jc w:val="center"/>
              <w:rPr>
                <w:rFonts w:eastAsia="仿宋"/>
                <w:sz w:val="21"/>
                <w:szCs w:val="21"/>
              </w:rPr>
            </w:pPr>
            <w:r>
              <w:rPr>
                <w:rFonts w:eastAsia="仿宋"/>
                <w:sz w:val="21"/>
                <w:szCs w:val="21"/>
              </w:rPr>
              <w:t>100%</w:t>
            </w:r>
          </w:p>
        </w:tc>
        <w:tc>
          <w:tcPr>
            <w:tcW w:w="1134" w:type="dxa"/>
            <w:vAlign w:val="center"/>
          </w:tcPr>
          <w:p>
            <w:pPr>
              <w:spacing w:line="240" w:lineRule="exact"/>
              <w:ind w:firstLine="0"/>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08"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738" w:type="dxa"/>
            <w:gridSpan w:val="2"/>
            <w:vAlign w:val="center"/>
          </w:tcPr>
          <w:p>
            <w:pPr>
              <w:spacing w:line="240" w:lineRule="exact"/>
              <w:ind w:firstLine="0"/>
              <w:jc w:val="center"/>
              <w:rPr>
                <w:rFonts w:eastAsia="仿宋"/>
                <w:sz w:val="21"/>
                <w:szCs w:val="21"/>
              </w:rPr>
            </w:pPr>
            <w:r>
              <w:rPr>
                <w:rFonts w:hAnsi="仿宋" w:eastAsia="仿宋"/>
                <w:sz w:val="21"/>
                <w:szCs w:val="21"/>
              </w:rPr>
              <w:t>是</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c>
          <w:tcPr>
            <w:tcW w:w="822" w:type="dxa"/>
            <w:vAlign w:val="center"/>
          </w:tcPr>
          <w:p>
            <w:pPr>
              <w:spacing w:line="240" w:lineRule="exact"/>
              <w:ind w:firstLine="0"/>
              <w:jc w:val="center"/>
              <w:rPr>
                <w:rFonts w:eastAsia="仿宋"/>
                <w:sz w:val="21"/>
                <w:szCs w:val="21"/>
              </w:rPr>
            </w:pPr>
            <w:r>
              <w:rPr>
                <w:rFonts w:eastAsia="仿宋"/>
                <w:sz w:val="21"/>
                <w:szCs w:val="21"/>
              </w:rPr>
              <w:t>11</w:t>
            </w:r>
            <w:r>
              <w:rPr>
                <w:rFonts w:hAnsi="仿宋" w:eastAsia="仿宋"/>
                <w:sz w:val="21"/>
                <w:szCs w:val="21"/>
              </w:rPr>
              <w:t>月</w:t>
            </w:r>
          </w:p>
        </w:tc>
        <w:tc>
          <w:tcPr>
            <w:tcW w:w="851" w:type="dxa"/>
            <w:vAlign w:val="center"/>
          </w:tcPr>
          <w:p>
            <w:pPr>
              <w:spacing w:line="240" w:lineRule="exact"/>
              <w:ind w:firstLine="0"/>
              <w:jc w:val="center"/>
              <w:rPr>
                <w:rFonts w:eastAsia="仿宋"/>
                <w:sz w:val="21"/>
                <w:szCs w:val="21"/>
              </w:rPr>
            </w:pPr>
            <w:r>
              <w:rPr>
                <w:rFonts w:hAnsi="仿宋" w:eastAsia="仿宋"/>
                <w:sz w:val="21"/>
                <w:szCs w:val="21"/>
              </w:rPr>
              <w:t>市安全生产监察支队</w:t>
            </w:r>
          </w:p>
        </w:tc>
        <w:tc>
          <w:tcPr>
            <w:tcW w:w="850" w:type="dxa"/>
            <w:vAlign w:val="center"/>
          </w:tcPr>
          <w:p>
            <w:pPr>
              <w:spacing w:line="240" w:lineRule="exact"/>
              <w:ind w:firstLine="0"/>
              <w:jc w:val="center"/>
              <w:rPr>
                <w:rFonts w:eastAsia="仿宋"/>
                <w:sz w:val="21"/>
                <w:szCs w:val="21"/>
              </w:rPr>
            </w:pPr>
            <w:r>
              <w:rPr>
                <w:rFonts w:hAnsi="仿宋" w:eastAsia="仿宋"/>
                <w:sz w:val="21"/>
                <w:szCs w:val="21"/>
              </w:rPr>
              <w:t>同上</w:t>
            </w:r>
          </w:p>
        </w:tc>
      </w:tr>
    </w:tbl>
    <w:p/>
    <w:p>
      <w:pPr>
        <w:widowControl/>
        <w:spacing w:line="600" w:lineRule="exact"/>
        <w:jc w:val="left"/>
        <w:rPr>
          <w:rFonts w:ascii="仿宋" w:hAnsi="仿宋" w:eastAsia="仿宋" w:cs="仿宋"/>
          <w:color w:val="000000"/>
          <w:kern w:val="0"/>
          <w:szCs w:val="32"/>
        </w:rPr>
      </w:pPr>
    </w:p>
    <w:p>
      <w:pPr>
        <w:widowControl/>
        <w:spacing w:line="600" w:lineRule="exact"/>
        <w:jc w:val="left"/>
        <w:rPr>
          <w:rFonts w:ascii="仿宋" w:hAnsi="仿宋" w:eastAsia="仿宋" w:cs="仿宋"/>
          <w:color w:val="000000"/>
          <w:kern w:val="0"/>
          <w:szCs w:val="32"/>
        </w:rPr>
        <w:sectPr>
          <w:headerReference r:id="rId3" w:type="default"/>
          <w:footerReference r:id="rId5" w:type="default"/>
          <w:headerReference r:id="rId4" w:type="even"/>
          <w:footerReference r:id="rId6" w:type="even"/>
          <w:pgSz w:w="16838" w:h="11906" w:orient="landscape"/>
          <w:pgMar w:top="1588" w:right="2098" w:bottom="1474" w:left="1985" w:header="851" w:footer="1588" w:gutter="0"/>
          <w:cols w:space="720" w:num="1"/>
          <w:docGrid w:type="lines" w:linePitch="579" w:charSpace="-849"/>
        </w:sectPr>
      </w:pPr>
    </w:p>
    <w:p>
      <w:pPr>
        <w:widowControl/>
        <w:spacing w:line="600" w:lineRule="exact"/>
        <w:jc w:val="left"/>
        <w:rPr>
          <w:rFonts w:hint="eastAsia" w:ascii="仿宋" w:hAnsi="仿宋" w:eastAsia="仿宋" w:cs="仿宋"/>
          <w:color w:val="000000"/>
          <w:kern w:val="0"/>
          <w:szCs w:val="32"/>
        </w:rPr>
      </w:pPr>
    </w:p>
    <w:sectPr>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溘冼_GB2312">
    <w:altName w:val="MingLiU"/>
    <w:panose1 w:val="00000000000000000000"/>
    <w:charset w:val="88"/>
    <w:family w:val="modern"/>
    <w:pitch w:val="default"/>
    <w:sig w:usb0="00000000" w:usb1="00000000" w:usb2="00000010" w:usb3="00000000" w:csb0="00100000" w:csb1="00000000"/>
  </w:font>
  <w:font w:name="冼极">
    <w:altName w:val="PMingLiU"/>
    <w:panose1 w:val="00000000000000000000"/>
    <w:charset w:val="88"/>
    <w:family w:val="roman"/>
    <w:pitch w:val="default"/>
    <w:sig w:usb0="00000000" w:usb1="00000000" w:usb2="00000010" w:usb3="00000000" w:csb0="0010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39" w:firstLine="0"/>
      <w:jc w:val="right"/>
      <w:rPr>
        <w:sz w:val="28"/>
      </w:rPr>
    </w:pPr>
    <w:r>
      <w:rPr>
        <w:rStyle w:val="16"/>
        <w:rFonts w:hint="eastAsia"/>
        <w:sz w:val="28"/>
      </w:rPr>
      <w:t>—</w:t>
    </w:r>
    <w:r>
      <w:rPr>
        <w:sz w:val="28"/>
      </w:rPr>
      <w:fldChar w:fldCharType="begin"/>
    </w:r>
    <w:r>
      <w:rPr>
        <w:rStyle w:val="16"/>
        <w:sz w:val="28"/>
      </w:rPr>
      <w:instrText xml:space="preserve"> PAGE </w:instrText>
    </w:r>
    <w:r>
      <w:rPr>
        <w:sz w:val="28"/>
      </w:rPr>
      <w:fldChar w:fldCharType="separate"/>
    </w:r>
    <w:r>
      <w:rPr>
        <w:rStyle w:val="16"/>
        <w:sz w:val="28"/>
      </w:rPr>
      <w:t>5</w:t>
    </w:r>
    <w:r>
      <w:rPr>
        <w:sz w:val="28"/>
      </w:rPr>
      <w:fldChar w:fldCharType="end"/>
    </w:r>
    <w:r>
      <w:rPr>
        <w:rStyle w:val="1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evenAndOddHeaders w:val="1"/>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A9"/>
    <w:rsid w:val="00002AFB"/>
    <w:rsid w:val="00003A31"/>
    <w:rsid w:val="00003BE7"/>
    <w:rsid w:val="000050BC"/>
    <w:rsid w:val="00005800"/>
    <w:rsid w:val="00007C2D"/>
    <w:rsid w:val="000110F7"/>
    <w:rsid w:val="00012B5F"/>
    <w:rsid w:val="00014DF9"/>
    <w:rsid w:val="00016C89"/>
    <w:rsid w:val="000215ED"/>
    <w:rsid w:val="000217A2"/>
    <w:rsid w:val="00021A5D"/>
    <w:rsid w:val="00022189"/>
    <w:rsid w:val="000249D4"/>
    <w:rsid w:val="00024ADE"/>
    <w:rsid w:val="000267B8"/>
    <w:rsid w:val="00031411"/>
    <w:rsid w:val="00031F82"/>
    <w:rsid w:val="0003335D"/>
    <w:rsid w:val="000335AA"/>
    <w:rsid w:val="00037C5D"/>
    <w:rsid w:val="00043CFE"/>
    <w:rsid w:val="00044941"/>
    <w:rsid w:val="0004538E"/>
    <w:rsid w:val="00045837"/>
    <w:rsid w:val="00051902"/>
    <w:rsid w:val="000519DB"/>
    <w:rsid w:val="00052441"/>
    <w:rsid w:val="0005247B"/>
    <w:rsid w:val="00054379"/>
    <w:rsid w:val="00055392"/>
    <w:rsid w:val="00055779"/>
    <w:rsid w:val="00055E3F"/>
    <w:rsid w:val="000570C3"/>
    <w:rsid w:val="0005774B"/>
    <w:rsid w:val="00061211"/>
    <w:rsid w:val="00062DD8"/>
    <w:rsid w:val="000644CD"/>
    <w:rsid w:val="00065051"/>
    <w:rsid w:val="00074359"/>
    <w:rsid w:val="000745F1"/>
    <w:rsid w:val="0007471E"/>
    <w:rsid w:val="00074973"/>
    <w:rsid w:val="00074A0E"/>
    <w:rsid w:val="0007515D"/>
    <w:rsid w:val="00076686"/>
    <w:rsid w:val="00077142"/>
    <w:rsid w:val="00080304"/>
    <w:rsid w:val="00080898"/>
    <w:rsid w:val="00081F13"/>
    <w:rsid w:val="0008204A"/>
    <w:rsid w:val="00083D7D"/>
    <w:rsid w:val="00083F5D"/>
    <w:rsid w:val="00084CA0"/>
    <w:rsid w:val="00084E5D"/>
    <w:rsid w:val="00085B34"/>
    <w:rsid w:val="00090C19"/>
    <w:rsid w:val="000941B5"/>
    <w:rsid w:val="000950D9"/>
    <w:rsid w:val="0009525B"/>
    <w:rsid w:val="0009556A"/>
    <w:rsid w:val="000A068C"/>
    <w:rsid w:val="000A2D9E"/>
    <w:rsid w:val="000A2F9D"/>
    <w:rsid w:val="000A5889"/>
    <w:rsid w:val="000A787A"/>
    <w:rsid w:val="000B1189"/>
    <w:rsid w:val="000B7ACD"/>
    <w:rsid w:val="000C1EEF"/>
    <w:rsid w:val="000C2AE8"/>
    <w:rsid w:val="000C2DBB"/>
    <w:rsid w:val="000C473B"/>
    <w:rsid w:val="000C560F"/>
    <w:rsid w:val="000C5939"/>
    <w:rsid w:val="000C5D44"/>
    <w:rsid w:val="000C7943"/>
    <w:rsid w:val="000D28BB"/>
    <w:rsid w:val="000D48F7"/>
    <w:rsid w:val="000D5A9C"/>
    <w:rsid w:val="000E0F96"/>
    <w:rsid w:val="000E4A35"/>
    <w:rsid w:val="000E66C6"/>
    <w:rsid w:val="000F09B8"/>
    <w:rsid w:val="000F2E3D"/>
    <w:rsid w:val="000F3D94"/>
    <w:rsid w:val="000F4DB3"/>
    <w:rsid w:val="000F6D21"/>
    <w:rsid w:val="0010186D"/>
    <w:rsid w:val="001024BC"/>
    <w:rsid w:val="00102CF8"/>
    <w:rsid w:val="00105676"/>
    <w:rsid w:val="001059CC"/>
    <w:rsid w:val="00105B09"/>
    <w:rsid w:val="00107679"/>
    <w:rsid w:val="001105C3"/>
    <w:rsid w:val="00111E66"/>
    <w:rsid w:val="00115735"/>
    <w:rsid w:val="00121F7A"/>
    <w:rsid w:val="001229FD"/>
    <w:rsid w:val="00123D4E"/>
    <w:rsid w:val="00127124"/>
    <w:rsid w:val="001305EF"/>
    <w:rsid w:val="00130852"/>
    <w:rsid w:val="00130CEA"/>
    <w:rsid w:val="00132EB5"/>
    <w:rsid w:val="001342F7"/>
    <w:rsid w:val="00135187"/>
    <w:rsid w:val="00135B5C"/>
    <w:rsid w:val="00136C28"/>
    <w:rsid w:val="001427EE"/>
    <w:rsid w:val="001462FA"/>
    <w:rsid w:val="001507D5"/>
    <w:rsid w:val="00152D5A"/>
    <w:rsid w:val="00153DBF"/>
    <w:rsid w:val="0016074C"/>
    <w:rsid w:val="001613AF"/>
    <w:rsid w:val="00161F38"/>
    <w:rsid w:val="00164295"/>
    <w:rsid w:val="00165040"/>
    <w:rsid w:val="00165E06"/>
    <w:rsid w:val="00170630"/>
    <w:rsid w:val="0017076E"/>
    <w:rsid w:val="00172876"/>
    <w:rsid w:val="001773CF"/>
    <w:rsid w:val="00177676"/>
    <w:rsid w:val="00177F79"/>
    <w:rsid w:val="00182644"/>
    <w:rsid w:val="00183B56"/>
    <w:rsid w:val="001862B4"/>
    <w:rsid w:val="0019235D"/>
    <w:rsid w:val="00193C04"/>
    <w:rsid w:val="0019519F"/>
    <w:rsid w:val="001957BF"/>
    <w:rsid w:val="00196AAE"/>
    <w:rsid w:val="00197AFF"/>
    <w:rsid w:val="001A4AA7"/>
    <w:rsid w:val="001A5601"/>
    <w:rsid w:val="001A5E4E"/>
    <w:rsid w:val="001A6E5B"/>
    <w:rsid w:val="001B0130"/>
    <w:rsid w:val="001B327E"/>
    <w:rsid w:val="001B35B5"/>
    <w:rsid w:val="001B431C"/>
    <w:rsid w:val="001B59FC"/>
    <w:rsid w:val="001B69D1"/>
    <w:rsid w:val="001C12AF"/>
    <w:rsid w:val="001C1531"/>
    <w:rsid w:val="001C3DB4"/>
    <w:rsid w:val="001C5C05"/>
    <w:rsid w:val="001C5FD1"/>
    <w:rsid w:val="001C6588"/>
    <w:rsid w:val="001C688B"/>
    <w:rsid w:val="001D22E1"/>
    <w:rsid w:val="001D6098"/>
    <w:rsid w:val="001E3D2A"/>
    <w:rsid w:val="001E4BFB"/>
    <w:rsid w:val="001F016A"/>
    <w:rsid w:val="001F1967"/>
    <w:rsid w:val="001F1CB3"/>
    <w:rsid w:val="001F313D"/>
    <w:rsid w:val="001F4981"/>
    <w:rsid w:val="001F4C08"/>
    <w:rsid w:val="001F50CD"/>
    <w:rsid w:val="001F78CD"/>
    <w:rsid w:val="0020321B"/>
    <w:rsid w:val="00204E59"/>
    <w:rsid w:val="0020653D"/>
    <w:rsid w:val="00207EA9"/>
    <w:rsid w:val="00211578"/>
    <w:rsid w:val="00213B99"/>
    <w:rsid w:val="0021481E"/>
    <w:rsid w:val="00225331"/>
    <w:rsid w:val="00225A5F"/>
    <w:rsid w:val="00225C83"/>
    <w:rsid w:val="00226455"/>
    <w:rsid w:val="00230D9E"/>
    <w:rsid w:val="00231C8C"/>
    <w:rsid w:val="0023322C"/>
    <w:rsid w:val="002361FA"/>
    <w:rsid w:val="00240B57"/>
    <w:rsid w:val="00241483"/>
    <w:rsid w:val="002440E7"/>
    <w:rsid w:val="0024498F"/>
    <w:rsid w:val="0024769D"/>
    <w:rsid w:val="0025021C"/>
    <w:rsid w:val="00250A23"/>
    <w:rsid w:val="00250D0B"/>
    <w:rsid w:val="00251907"/>
    <w:rsid w:val="0025505B"/>
    <w:rsid w:val="00255BDF"/>
    <w:rsid w:val="00255E36"/>
    <w:rsid w:val="002562CC"/>
    <w:rsid w:val="00261008"/>
    <w:rsid w:val="002617F8"/>
    <w:rsid w:val="00262A9A"/>
    <w:rsid w:val="00262E1D"/>
    <w:rsid w:val="00263F62"/>
    <w:rsid w:val="00265825"/>
    <w:rsid w:val="0026636F"/>
    <w:rsid w:val="00266742"/>
    <w:rsid w:val="00273659"/>
    <w:rsid w:val="00273E09"/>
    <w:rsid w:val="00277762"/>
    <w:rsid w:val="002806C5"/>
    <w:rsid w:val="00285B08"/>
    <w:rsid w:val="002861D4"/>
    <w:rsid w:val="00286B83"/>
    <w:rsid w:val="002872DC"/>
    <w:rsid w:val="00287707"/>
    <w:rsid w:val="00294C05"/>
    <w:rsid w:val="002960BC"/>
    <w:rsid w:val="00296270"/>
    <w:rsid w:val="002A2A07"/>
    <w:rsid w:val="002A4A45"/>
    <w:rsid w:val="002A54E1"/>
    <w:rsid w:val="002A6EF1"/>
    <w:rsid w:val="002B0055"/>
    <w:rsid w:val="002B045A"/>
    <w:rsid w:val="002B0A0B"/>
    <w:rsid w:val="002B3059"/>
    <w:rsid w:val="002B3203"/>
    <w:rsid w:val="002B3316"/>
    <w:rsid w:val="002B4080"/>
    <w:rsid w:val="002B4E50"/>
    <w:rsid w:val="002C1406"/>
    <w:rsid w:val="002C20D2"/>
    <w:rsid w:val="002C355F"/>
    <w:rsid w:val="002C4E60"/>
    <w:rsid w:val="002C629A"/>
    <w:rsid w:val="002D03AA"/>
    <w:rsid w:val="002D3788"/>
    <w:rsid w:val="002D4F78"/>
    <w:rsid w:val="002D5EB2"/>
    <w:rsid w:val="002D6E80"/>
    <w:rsid w:val="002D7A1B"/>
    <w:rsid w:val="002E221B"/>
    <w:rsid w:val="002E3EB9"/>
    <w:rsid w:val="002E408A"/>
    <w:rsid w:val="002E4FDB"/>
    <w:rsid w:val="002F0D55"/>
    <w:rsid w:val="002F1062"/>
    <w:rsid w:val="002F38F9"/>
    <w:rsid w:val="002F4298"/>
    <w:rsid w:val="002F66E0"/>
    <w:rsid w:val="00301526"/>
    <w:rsid w:val="0030281B"/>
    <w:rsid w:val="00303C41"/>
    <w:rsid w:val="00312533"/>
    <w:rsid w:val="00312FC5"/>
    <w:rsid w:val="003133A7"/>
    <w:rsid w:val="00314268"/>
    <w:rsid w:val="00314F3F"/>
    <w:rsid w:val="00315403"/>
    <w:rsid w:val="003163D3"/>
    <w:rsid w:val="003174C3"/>
    <w:rsid w:val="00320261"/>
    <w:rsid w:val="0032175B"/>
    <w:rsid w:val="00322017"/>
    <w:rsid w:val="00322C0D"/>
    <w:rsid w:val="00323F5E"/>
    <w:rsid w:val="003311DA"/>
    <w:rsid w:val="003324B2"/>
    <w:rsid w:val="00333ACD"/>
    <w:rsid w:val="00334ACF"/>
    <w:rsid w:val="00334EC6"/>
    <w:rsid w:val="0034588F"/>
    <w:rsid w:val="00347770"/>
    <w:rsid w:val="0034795B"/>
    <w:rsid w:val="00350FA8"/>
    <w:rsid w:val="00352141"/>
    <w:rsid w:val="00352220"/>
    <w:rsid w:val="003550C7"/>
    <w:rsid w:val="00357793"/>
    <w:rsid w:val="00357B7B"/>
    <w:rsid w:val="00357CC1"/>
    <w:rsid w:val="00360BC4"/>
    <w:rsid w:val="00360F17"/>
    <w:rsid w:val="00363136"/>
    <w:rsid w:val="0036335B"/>
    <w:rsid w:val="0036406B"/>
    <w:rsid w:val="003647F5"/>
    <w:rsid w:val="003648E9"/>
    <w:rsid w:val="00371464"/>
    <w:rsid w:val="00371D9D"/>
    <w:rsid w:val="003729A6"/>
    <w:rsid w:val="00373D3F"/>
    <w:rsid w:val="00373E04"/>
    <w:rsid w:val="00374DA1"/>
    <w:rsid w:val="0037575C"/>
    <w:rsid w:val="0037632A"/>
    <w:rsid w:val="00376617"/>
    <w:rsid w:val="00377695"/>
    <w:rsid w:val="003900C3"/>
    <w:rsid w:val="00391F02"/>
    <w:rsid w:val="0039227F"/>
    <w:rsid w:val="0039351D"/>
    <w:rsid w:val="00396D70"/>
    <w:rsid w:val="00396FE6"/>
    <w:rsid w:val="00397E04"/>
    <w:rsid w:val="003A01E3"/>
    <w:rsid w:val="003A1E1E"/>
    <w:rsid w:val="003A2206"/>
    <w:rsid w:val="003A3D05"/>
    <w:rsid w:val="003A4276"/>
    <w:rsid w:val="003A4567"/>
    <w:rsid w:val="003A6885"/>
    <w:rsid w:val="003A7129"/>
    <w:rsid w:val="003B0592"/>
    <w:rsid w:val="003B2212"/>
    <w:rsid w:val="003B23BB"/>
    <w:rsid w:val="003B277D"/>
    <w:rsid w:val="003B284C"/>
    <w:rsid w:val="003B3530"/>
    <w:rsid w:val="003B4931"/>
    <w:rsid w:val="003B5CCD"/>
    <w:rsid w:val="003B7257"/>
    <w:rsid w:val="003C423B"/>
    <w:rsid w:val="003C4994"/>
    <w:rsid w:val="003C5E4E"/>
    <w:rsid w:val="003C701E"/>
    <w:rsid w:val="003C72DC"/>
    <w:rsid w:val="003D1A00"/>
    <w:rsid w:val="003D2E6B"/>
    <w:rsid w:val="003D395B"/>
    <w:rsid w:val="003D7E2B"/>
    <w:rsid w:val="003E0EBF"/>
    <w:rsid w:val="003E341F"/>
    <w:rsid w:val="003E5D77"/>
    <w:rsid w:val="003E6180"/>
    <w:rsid w:val="003E65A3"/>
    <w:rsid w:val="003E7C36"/>
    <w:rsid w:val="003F04BC"/>
    <w:rsid w:val="003F7BA9"/>
    <w:rsid w:val="004021CF"/>
    <w:rsid w:val="00405390"/>
    <w:rsid w:val="00406470"/>
    <w:rsid w:val="0041366C"/>
    <w:rsid w:val="004138F6"/>
    <w:rsid w:val="00413935"/>
    <w:rsid w:val="004139D7"/>
    <w:rsid w:val="0041430A"/>
    <w:rsid w:val="004152C5"/>
    <w:rsid w:val="0042043D"/>
    <w:rsid w:val="004211DE"/>
    <w:rsid w:val="00423777"/>
    <w:rsid w:val="0042413E"/>
    <w:rsid w:val="00426415"/>
    <w:rsid w:val="00432271"/>
    <w:rsid w:val="004335BA"/>
    <w:rsid w:val="0043444B"/>
    <w:rsid w:val="00441CE2"/>
    <w:rsid w:val="0044496E"/>
    <w:rsid w:val="00446168"/>
    <w:rsid w:val="004465E9"/>
    <w:rsid w:val="00450BA0"/>
    <w:rsid w:val="00451835"/>
    <w:rsid w:val="004519BD"/>
    <w:rsid w:val="00453AE0"/>
    <w:rsid w:val="00454BBE"/>
    <w:rsid w:val="0045625B"/>
    <w:rsid w:val="00457E83"/>
    <w:rsid w:val="004615C2"/>
    <w:rsid w:val="004631BC"/>
    <w:rsid w:val="00463981"/>
    <w:rsid w:val="00464D17"/>
    <w:rsid w:val="00472262"/>
    <w:rsid w:val="004725C9"/>
    <w:rsid w:val="004744ED"/>
    <w:rsid w:val="00474646"/>
    <w:rsid w:val="00474B2E"/>
    <w:rsid w:val="004772FD"/>
    <w:rsid w:val="00482F7E"/>
    <w:rsid w:val="00483E19"/>
    <w:rsid w:val="0048563A"/>
    <w:rsid w:val="00486960"/>
    <w:rsid w:val="00490092"/>
    <w:rsid w:val="00491742"/>
    <w:rsid w:val="00493695"/>
    <w:rsid w:val="00494A5F"/>
    <w:rsid w:val="004965AC"/>
    <w:rsid w:val="004A0536"/>
    <w:rsid w:val="004A0BC2"/>
    <w:rsid w:val="004A20E7"/>
    <w:rsid w:val="004A3A53"/>
    <w:rsid w:val="004A3D05"/>
    <w:rsid w:val="004A4B7B"/>
    <w:rsid w:val="004A5356"/>
    <w:rsid w:val="004B195C"/>
    <w:rsid w:val="004B1D6A"/>
    <w:rsid w:val="004B2F56"/>
    <w:rsid w:val="004B3AE6"/>
    <w:rsid w:val="004C2635"/>
    <w:rsid w:val="004C4928"/>
    <w:rsid w:val="004C5C47"/>
    <w:rsid w:val="004D0E80"/>
    <w:rsid w:val="004D5227"/>
    <w:rsid w:val="004D6825"/>
    <w:rsid w:val="004D7362"/>
    <w:rsid w:val="004E02D3"/>
    <w:rsid w:val="004E14A5"/>
    <w:rsid w:val="004E2DFC"/>
    <w:rsid w:val="004F1312"/>
    <w:rsid w:val="004F14CD"/>
    <w:rsid w:val="004F1763"/>
    <w:rsid w:val="004F1A57"/>
    <w:rsid w:val="004F2114"/>
    <w:rsid w:val="004F6E11"/>
    <w:rsid w:val="00502B34"/>
    <w:rsid w:val="00503F2F"/>
    <w:rsid w:val="00505E09"/>
    <w:rsid w:val="00506F3D"/>
    <w:rsid w:val="005074C0"/>
    <w:rsid w:val="005079F7"/>
    <w:rsid w:val="00510410"/>
    <w:rsid w:val="0051049C"/>
    <w:rsid w:val="005109F9"/>
    <w:rsid w:val="00512325"/>
    <w:rsid w:val="005155C0"/>
    <w:rsid w:val="00520C07"/>
    <w:rsid w:val="00521378"/>
    <w:rsid w:val="00521C4B"/>
    <w:rsid w:val="005220C3"/>
    <w:rsid w:val="005248BE"/>
    <w:rsid w:val="00525010"/>
    <w:rsid w:val="00526073"/>
    <w:rsid w:val="00530270"/>
    <w:rsid w:val="00530B36"/>
    <w:rsid w:val="00530D0C"/>
    <w:rsid w:val="005332D1"/>
    <w:rsid w:val="005345F7"/>
    <w:rsid w:val="00534CBE"/>
    <w:rsid w:val="00534FF8"/>
    <w:rsid w:val="005360B5"/>
    <w:rsid w:val="005372D2"/>
    <w:rsid w:val="00540FFC"/>
    <w:rsid w:val="005422BF"/>
    <w:rsid w:val="005432B9"/>
    <w:rsid w:val="005442F6"/>
    <w:rsid w:val="005446E9"/>
    <w:rsid w:val="00544C7D"/>
    <w:rsid w:val="00546272"/>
    <w:rsid w:val="005471A3"/>
    <w:rsid w:val="005471D3"/>
    <w:rsid w:val="005501EC"/>
    <w:rsid w:val="00551190"/>
    <w:rsid w:val="00551817"/>
    <w:rsid w:val="0055239D"/>
    <w:rsid w:val="00552A49"/>
    <w:rsid w:val="00554DF5"/>
    <w:rsid w:val="0055673D"/>
    <w:rsid w:val="005575CD"/>
    <w:rsid w:val="005619CE"/>
    <w:rsid w:val="00563792"/>
    <w:rsid w:val="00563963"/>
    <w:rsid w:val="00564335"/>
    <w:rsid w:val="0056555A"/>
    <w:rsid w:val="00566D71"/>
    <w:rsid w:val="00570E1F"/>
    <w:rsid w:val="005732D4"/>
    <w:rsid w:val="00573F48"/>
    <w:rsid w:val="005743AC"/>
    <w:rsid w:val="00574E92"/>
    <w:rsid w:val="00576AE5"/>
    <w:rsid w:val="00576C08"/>
    <w:rsid w:val="00581142"/>
    <w:rsid w:val="0058175B"/>
    <w:rsid w:val="005825A4"/>
    <w:rsid w:val="0058283D"/>
    <w:rsid w:val="00585BBB"/>
    <w:rsid w:val="00587D68"/>
    <w:rsid w:val="005901CD"/>
    <w:rsid w:val="005912F0"/>
    <w:rsid w:val="0059204C"/>
    <w:rsid w:val="005943A9"/>
    <w:rsid w:val="00596976"/>
    <w:rsid w:val="00597C4B"/>
    <w:rsid w:val="005A086B"/>
    <w:rsid w:val="005A151C"/>
    <w:rsid w:val="005A20EE"/>
    <w:rsid w:val="005A21C2"/>
    <w:rsid w:val="005A2E31"/>
    <w:rsid w:val="005A30A5"/>
    <w:rsid w:val="005A32A4"/>
    <w:rsid w:val="005A70D3"/>
    <w:rsid w:val="005A7B14"/>
    <w:rsid w:val="005B2386"/>
    <w:rsid w:val="005B2B4C"/>
    <w:rsid w:val="005B2CC2"/>
    <w:rsid w:val="005B34D8"/>
    <w:rsid w:val="005B36DE"/>
    <w:rsid w:val="005B52B7"/>
    <w:rsid w:val="005B5979"/>
    <w:rsid w:val="005C0C5A"/>
    <w:rsid w:val="005C0FB8"/>
    <w:rsid w:val="005C1050"/>
    <w:rsid w:val="005C3A52"/>
    <w:rsid w:val="005C3F34"/>
    <w:rsid w:val="005C426D"/>
    <w:rsid w:val="005C480D"/>
    <w:rsid w:val="005C58A7"/>
    <w:rsid w:val="005C5B44"/>
    <w:rsid w:val="005D207C"/>
    <w:rsid w:val="005D69EE"/>
    <w:rsid w:val="005D7D77"/>
    <w:rsid w:val="005D7DE9"/>
    <w:rsid w:val="005E0067"/>
    <w:rsid w:val="005E0304"/>
    <w:rsid w:val="005E1D8F"/>
    <w:rsid w:val="005E249E"/>
    <w:rsid w:val="005E2BE5"/>
    <w:rsid w:val="005E6E6B"/>
    <w:rsid w:val="005F0379"/>
    <w:rsid w:val="005F0679"/>
    <w:rsid w:val="005F1BD1"/>
    <w:rsid w:val="005F1DBC"/>
    <w:rsid w:val="005F328C"/>
    <w:rsid w:val="005F34CE"/>
    <w:rsid w:val="005F3862"/>
    <w:rsid w:val="005F6C0D"/>
    <w:rsid w:val="006007E2"/>
    <w:rsid w:val="00601CC3"/>
    <w:rsid w:val="00605F47"/>
    <w:rsid w:val="00606AD9"/>
    <w:rsid w:val="00614737"/>
    <w:rsid w:val="006163AD"/>
    <w:rsid w:val="00623035"/>
    <w:rsid w:val="00623313"/>
    <w:rsid w:val="0062480F"/>
    <w:rsid w:val="00625913"/>
    <w:rsid w:val="006264C1"/>
    <w:rsid w:val="0062751C"/>
    <w:rsid w:val="0063085B"/>
    <w:rsid w:val="00630D71"/>
    <w:rsid w:val="00631AA2"/>
    <w:rsid w:val="00632BB1"/>
    <w:rsid w:val="00633CE1"/>
    <w:rsid w:val="0063494B"/>
    <w:rsid w:val="00635182"/>
    <w:rsid w:val="006377A7"/>
    <w:rsid w:val="006402B8"/>
    <w:rsid w:val="00641D3A"/>
    <w:rsid w:val="006448F6"/>
    <w:rsid w:val="00644AB6"/>
    <w:rsid w:val="006553D8"/>
    <w:rsid w:val="00663E2C"/>
    <w:rsid w:val="00666296"/>
    <w:rsid w:val="00666F85"/>
    <w:rsid w:val="00667472"/>
    <w:rsid w:val="0066751E"/>
    <w:rsid w:val="006706B3"/>
    <w:rsid w:val="00672427"/>
    <w:rsid w:val="0067462E"/>
    <w:rsid w:val="00675A99"/>
    <w:rsid w:val="00676185"/>
    <w:rsid w:val="00676719"/>
    <w:rsid w:val="00682D96"/>
    <w:rsid w:val="0068538D"/>
    <w:rsid w:val="0068709D"/>
    <w:rsid w:val="006872F6"/>
    <w:rsid w:val="006905A2"/>
    <w:rsid w:val="00693F9F"/>
    <w:rsid w:val="00695FDC"/>
    <w:rsid w:val="00696E1F"/>
    <w:rsid w:val="00697848"/>
    <w:rsid w:val="006A0A47"/>
    <w:rsid w:val="006A1299"/>
    <w:rsid w:val="006B1C92"/>
    <w:rsid w:val="006B21B8"/>
    <w:rsid w:val="006B26D0"/>
    <w:rsid w:val="006B5B08"/>
    <w:rsid w:val="006B5BB2"/>
    <w:rsid w:val="006B7747"/>
    <w:rsid w:val="006C307C"/>
    <w:rsid w:val="006C3A5E"/>
    <w:rsid w:val="006C620C"/>
    <w:rsid w:val="006C6FA7"/>
    <w:rsid w:val="006D18E8"/>
    <w:rsid w:val="006D6F6F"/>
    <w:rsid w:val="006E068A"/>
    <w:rsid w:val="006E378D"/>
    <w:rsid w:val="006E429F"/>
    <w:rsid w:val="006E4377"/>
    <w:rsid w:val="006F1556"/>
    <w:rsid w:val="006F2A3D"/>
    <w:rsid w:val="006F3140"/>
    <w:rsid w:val="006F3788"/>
    <w:rsid w:val="006F4EB1"/>
    <w:rsid w:val="00702036"/>
    <w:rsid w:val="00702EE5"/>
    <w:rsid w:val="00707C52"/>
    <w:rsid w:val="00713A8D"/>
    <w:rsid w:val="00714672"/>
    <w:rsid w:val="007179E2"/>
    <w:rsid w:val="00720992"/>
    <w:rsid w:val="007210C5"/>
    <w:rsid w:val="00722513"/>
    <w:rsid w:val="00722F03"/>
    <w:rsid w:val="00724DB2"/>
    <w:rsid w:val="00725727"/>
    <w:rsid w:val="00727A26"/>
    <w:rsid w:val="00730994"/>
    <w:rsid w:val="00730C98"/>
    <w:rsid w:val="00731227"/>
    <w:rsid w:val="0073241E"/>
    <w:rsid w:val="00733039"/>
    <w:rsid w:val="00733208"/>
    <w:rsid w:val="0073653D"/>
    <w:rsid w:val="007442B4"/>
    <w:rsid w:val="00744AFC"/>
    <w:rsid w:val="00745B13"/>
    <w:rsid w:val="00752CCE"/>
    <w:rsid w:val="007532CE"/>
    <w:rsid w:val="007532DE"/>
    <w:rsid w:val="00753EA5"/>
    <w:rsid w:val="007554AA"/>
    <w:rsid w:val="00762498"/>
    <w:rsid w:val="007665BE"/>
    <w:rsid w:val="007669BC"/>
    <w:rsid w:val="007703E7"/>
    <w:rsid w:val="00771B52"/>
    <w:rsid w:val="00772B63"/>
    <w:rsid w:val="00773FCC"/>
    <w:rsid w:val="007761A8"/>
    <w:rsid w:val="00777350"/>
    <w:rsid w:val="00782CC8"/>
    <w:rsid w:val="007834A6"/>
    <w:rsid w:val="007846B9"/>
    <w:rsid w:val="00784BE3"/>
    <w:rsid w:val="00790BB2"/>
    <w:rsid w:val="00791256"/>
    <w:rsid w:val="007953C4"/>
    <w:rsid w:val="00795C21"/>
    <w:rsid w:val="007A5EB8"/>
    <w:rsid w:val="007A7D7A"/>
    <w:rsid w:val="007B0601"/>
    <w:rsid w:val="007B0F4C"/>
    <w:rsid w:val="007B356E"/>
    <w:rsid w:val="007B3C39"/>
    <w:rsid w:val="007B4F71"/>
    <w:rsid w:val="007B59FB"/>
    <w:rsid w:val="007C1A08"/>
    <w:rsid w:val="007C38E1"/>
    <w:rsid w:val="007C47BD"/>
    <w:rsid w:val="007C4EF2"/>
    <w:rsid w:val="007C65F5"/>
    <w:rsid w:val="007C7A0E"/>
    <w:rsid w:val="007D0829"/>
    <w:rsid w:val="007D56ED"/>
    <w:rsid w:val="007D6555"/>
    <w:rsid w:val="007E01C4"/>
    <w:rsid w:val="007E20A1"/>
    <w:rsid w:val="007E2A2E"/>
    <w:rsid w:val="007E31DD"/>
    <w:rsid w:val="007E666C"/>
    <w:rsid w:val="007F0557"/>
    <w:rsid w:val="007F0A18"/>
    <w:rsid w:val="007F0DF2"/>
    <w:rsid w:val="007F19FD"/>
    <w:rsid w:val="007F2272"/>
    <w:rsid w:val="00801FBA"/>
    <w:rsid w:val="00803400"/>
    <w:rsid w:val="00803B17"/>
    <w:rsid w:val="00803C98"/>
    <w:rsid w:val="00803F06"/>
    <w:rsid w:val="00804FB4"/>
    <w:rsid w:val="008060F9"/>
    <w:rsid w:val="00806173"/>
    <w:rsid w:val="00807175"/>
    <w:rsid w:val="008078CD"/>
    <w:rsid w:val="00810896"/>
    <w:rsid w:val="00811A2A"/>
    <w:rsid w:val="00816457"/>
    <w:rsid w:val="008241CF"/>
    <w:rsid w:val="00830BC4"/>
    <w:rsid w:val="008312D8"/>
    <w:rsid w:val="008322BA"/>
    <w:rsid w:val="00832F68"/>
    <w:rsid w:val="00834CF3"/>
    <w:rsid w:val="00835207"/>
    <w:rsid w:val="008357E0"/>
    <w:rsid w:val="00835DB2"/>
    <w:rsid w:val="0084005E"/>
    <w:rsid w:val="00842A1E"/>
    <w:rsid w:val="00843B08"/>
    <w:rsid w:val="008457AB"/>
    <w:rsid w:val="00847677"/>
    <w:rsid w:val="008552EC"/>
    <w:rsid w:val="00855F1F"/>
    <w:rsid w:val="00856712"/>
    <w:rsid w:val="00857468"/>
    <w:rsid w:val="0085755F"/>
    <w:rsid w:val="00860ADC"/>
    <w:rsid w:val="00860C7D"/>
    <w:rsid w:val="0086304B"/>
    <w:rsid w:val="0086381D"/>
    <w:rsid w:val="0086458A"/>
    <w:rsid w:val="008674A7"/>
    <w:rsid w:val="00870663"/>
    <w:rsid w:val="008766F7"/>
    <w:rsid w:val="00876EC3"/>
    <w:rsid w:val="00876F67"/>
    <w:rsid w:val="00880818"/>
    <w:rsid w:val="008811D4"/>
    <w:rsid w:val="008879C8"/>
    <w:rsid w:val="00892596"/>
    <w:rsid w:val="008925FE"/>
    <w:rsid w:val="00892A3F"/>
    <w:rsid w:val="00894A40"/>
    <w:rsid w:val="00895A92"/>
    <w:rsid w:val="00896145"/>
    <w:rsid w:val="00896321"/>
    <w:rsid w:val="008A1FEE"/>
    <w:rsid w:val="008A39CE"/>
    <w:rsid w:val="008A3DC2"/>
    <w:rsid w:val="008A4535"/>
    <w:rsid w:val="008A7E9E"/>
    <w:rsid w:val="008B29E4"/>
    <w:rsid w:val="008B3E4E"/>
    <w:rsid w:val="008B451D"/>
    <w:rsid w:val="008B5A5D"/>
    <w:rsid w:val="008B6019"/>
    <w:rsid w:val="008B7780"/>
    <w:rsid w:val="008C2402"/>
    <w:rsid w:val="008C3E2A"/>
    <w:rsid w:val="008C458D"/>
    <w:rsid w:val="008C46DD"/>
    <w:rsid w:val="008D0217"/>
    <w:rsid w:val="008D2D11"/>
    <w:rsid w:val="008D4E5C"/>
    <w:rsid w:val="008D5957"/>
    <w:rsid w:val="008D6C95"/>
    <w:rsid w:val="008D77BC"/>
    <w:rsid w:val="008D7B20"/>
    <w:rsid w:val="008E07D2"/>
    <w:rsid w:val="008E3205"/>
    <w:rsid w:val="008E3403"/>
    <w:rsid w:val="008E6BF1"/>
    <w:rsid w:val="008F4C7A"/>
    <w:rsid w:val="008F6116"/>
    <w:rsid w:val="008F74EB"/>
    <w:rsid w:val="008F7516"/>
    <w:rsid w:val="008F794D"/>
    <w:rsid w:val="00902570"/>
    <w:rsid w:val="0090288B"/>
    <w:rsid w:val="009028AF"/>
    <w:rsid w:val="00903F8C"/>
    <w:rsid w:val="0090440C"/>
    <w:rsid w:val="009044B9"/>
    <w:rsid w:val="00905335"/>
    <w:rsid w:val="0090785E"/>
    <w:rsid w:val="0091057B"/>
    <w:rsid w:val="0091372C"/>
    <w:rsid w:val="009139F5"/>
    <w:rsid w:val="009155B7"/>
    <w:rsid w:val="00915C9E"/>
    <w:rsid w:val="00917499"/>
    <w:rsid w:val="00921111"/>
    <w:rsid w:val="0092247A"/>
    <w:rsid w:val="00922645"/>
    <w:rsid w:val="00922F95"/>
    <w:rsid w:val="00924208"/>
    <w:rsid w:val="00925303"/>
    <w:rsid w:val="00925B72"/>
    <w:rsid w:val="009265B1"/>
    <w:rsid w:val="00926A24"/>
    <w:rsid w:val="009308BB"/>
    <w:rsid w:val="00932FC9"/>
    <w:rsid w:val="009342F7"/>
    <w:rsid w:val="00936840"/>
    <w:rsid w:val="009368C7"/>
    <w:rsid w:val="00936953"/>
    <w:rsid w:val="009370E9"/>
    <w:rsid w:val="009377CC"/>
    <w:rsid w:val="009400D2"/>
    <w:rsid w:val="0094217F"/>
    <w:rsid w:val="0094291E"/>
    <w:rsid w:val="00943CF0"/>
    <w:rsid w:val="009447C5"/>
    <w:rsid w:val="0094681A"/>
    <w:rsid w:val="00951430"/>
    <w:rsid w:val="009514E4"/>
    <w:rsid w:val="00951FFD"/>
    <w:rsid w:val="00952416"/>
    <w:rsid w:val="0095391B"/>
    <w:rsid w:val="00954167"/>
    <w:rsid w:val="00955347"/>
    <w:rsid w:val="009611F5"/>
    <w:rsid w:val="00963400"/>
    <w:rsid w:val="00964FD1"/>
    <w:rsid w:val="00965039"/>
    <w:rsid w:val="0096613D"/>
    <w:rsid w:val="009727C7"/>
    <w:rsid w:val="009730FA"/>
    <w:rsid w:val="0097323A"/>
    <w:rsid w:val="00973CB2"/>
    <w:rsid w:val="009742E8"/>
    <w:rsid w:val="00977489"/>
    <w:rsid w:val="00977F40"/>
    <w:rsid w:val="00980D53"/>
    <w:rsid w:val="00982CE1"/>
    <w:rsid w:val="00982D23"/>
    <w:rsid w:val="009857CF"/>
    <w:rsid w:val="00985C01"/>
    <w:rsid w:val="00985DEB"/>
    <w:rsid w:val="0099229F"/>
    <w:rsid w:val="00992E69"/>
    <w:rsid w:val="00993D8E"/>
    <w:rsid w:val="00994214"/>
    <w:rsid w:val="00995DCE"/>
    <w:rsid w:val="009A0B74"/>
    <w:rsid w:val="009A1F76"/>
    <w:rsid w:val="009A27B3"/>
    <w:rsid w:val="009A2DC9"/>
    <w:rsid w:val="009A4880"/>
    <w:rsid w:val="009B0414"/>
    <w:rsid w:val="009B101A"/>
    <w:rsid w:val="009B1F94"/>
    <w:rsid w:val="009B2043"/>
    <w:rsid w:val="009B3F70"/>
    <w:rsid w:val="009B4942"/>
    <w:rsid w:val="009B4BE4"/>
    <w:rsid w:val="009B5495"/>
    <w:rsid w:val="009B60F9"/>
    <w:rsid w:val="009B67FC"/>
    <w:rsid w:val="009B79E8"/>
    <w:rsid w:val="009B7BFE"/>
    <w:rsid w:val="009B7CEF"/>
    <w:rsid w:val="009C1003"/>
    <w:rsid w:val="009C1740"/>
    <w:rsid w:val="009C1FB1"/>
    <w:rsid w:val="009C32F1"/>
    <w:rsid w:val="009C3530"/>
    <w:rsid w:val="009C4667"/>
    <w:rsid w:val="009D3F95"/>
    <w:rsid w:val="009D436D"/>
    <w:rsid w:val="009D44C6"/>
    <w:rsid w:val="009D61ED"/>
    <w:rsid w:val="009D714A"/>
    <w:rsid w:val="009D7A13"/>
    <w:rsid w:val="009E1DC0"/>
    <w:rsid w:val="009E3DA2"/>
    <w:rsid w:val="009E3FFA"/>
    <w:rsid w:val="009E4C53"/>
    <w:rsid w:val="009E6BC6"/>
    <w:rsid w:val="009F07B3"/>
    <w:rsid w:val="009F2237"/>
    <w:rsid w:val="009F4EB8"/>
    <w:rsid w:val="009F5536"/>
    <w:rsid w:val="009F576F"/>
    <w:rsid w:val="009F7E3E"/>
    <w:rsid w:val="00A11DAF"/>
    <w:rsid w:val="00A11E17"/>
    <w:rsid w:val="00A16C1F"/>
    <w:rsid w:val="00A20A27"/>
    <w:rsid w:val="00A21709"/>
    <w:rsid w:val="00A229A8"/>
    <w:rsid w:val="00A23BE8"/>
    <w:rsid w:val="00A254C5"/>
    <w:rsid w:val="00A320D8"/>
    <w:rsid w:val="00A37530"/>
    <w:rsid w:val="00A41B20"/>
    <w:rsid w:val="00A4219B"/>
    <w:rsid w:val="00A4359B"/>
    <w:rsid w:val="00A451DB"/>
    <w:rsid w:val="00A45BBC"/>
    <w:rsid w:val="00A474E4"/>
    <w:rsid w:val="00A518FB"/>
    <w:rsid w:val="00A52147"/>
    <w:rsid w:val="00A52370"/>
    <w:rsid w:val="00A52497"/>
    <w:rsid w:val="00A5400E"/>
    <w:rsid w:val="00A546D1"/>
    <w:rsid w:val="00A55BD2"/>
    <w:rsid w:val="00A60DA9"/>
    <w:rsid w:val="00A620D0"/>
    <w:rsid w:val="00A62253"/>
    <w:rsid w:val="00A64175"/>
    <w:rsid w:val="00A643C8"/>
    <w:rsid w:val="00A64482"/>
    <w:rsid w:val="00A652E1"/>
    <w:rsid w:val="00A66D45"/>
    <w:rsid w:val="00A725CB"/>
    <w:rsid w:val="00A72A15"/>
    <w:rsid w:val="00A731DD"/>
    <w:rsid w:val="00A740D9"/>
    <w:rsid w:val="00A74F9D"/>
    <w:rsid w:val="00A80CC6"/>
    <w:rsid w:val="00A8176F"/>
    <w:rsid w:val="00A8253B"/>
    <w:rsid w:val="00A8351D"/>
    <w:rsid w:val="00A854C8"/>
    <w:rsid w:val="00A85C85"/>
    <w:rsid w:val="00A92E28"/>
    <w:rsid w:val="00A92FAE"/>
    <w:rsid w:val="00A96C8B"/>
    <w:rsid w:val="00A971CD"/>
    <w:rsid w:val="00AA220D"/>
    <w:rsid w:val="00AA3090"/>
    <w:rsid w:val="00AA49F7"/>
    <w:rsid w:val="00AB2DEA"/>
    <w:rsid w:val="00AB6C4F"/>
    <w:rsid w:val="00AC0F95"/>
    <w:rsid w:val="00AC31AF"/>
    <w:rsid w:val="00AC5E63"/>
    <w:rsid w:val="00AC6897"/>
    <w:rsid w:val="00AC7729"/>
    <w:rsid w:val="00AD1C9D"/>
    <w:rsid w:val="00AD24D4"/>
    <w:rsid w:val="00AD372F"/>
    <w:rsid w:val="00AD3BEE"/>
    <w:rsid w:val="00AD3CDC"/>
    <w:rsid w:val="00AD3FAC"/>
    <w:rsid w:val="00AD443C"/>
    <w:rsid w:val="00AD46B2"/>
    <w:rsid w:val="00AD5DEA"/>
    <w:rsid w:val="00AD6434"/>
    <w:rsid w:val="00AE2106"/>
    <w:rsid w:val="00AE2ECE"/>
    <w:rsid w:val="00AE5748"/>
    <w:rsid w:val="00AE7251"/>
    <w:rsid w:val="00AF15EA"/>
    <w:rsid w:val="00AF40AA"/>
    <w:rsid w:val="00AF6756"/>
    <w:rsid w:val="00B018A6"/>
    <w:rsid w:val="00B06396"/>
    <w:rsid w:val="00B0677A"/>
    <w:rsid w:val="00B06B66"/>
    <w:rsid w:val="00B1297C"/>
    <w:rsid w:val="00B13D79"/>
    <w:rsid w:val="00B1712A"/>
    <w:rsid w:val="00B17520"/>
    <w:rsid w:val="00B20205"/>
    <w:rsid w:val="00B22DE8"/>
    <w:rsid w:val="00B24A55"/>
    <w:rsid w:val="00B25206"/>
    <w:rsid w:val="00B30181"/>
    <w:rsid w:val="00B33E3E"/>
    <w:rsid w:val="00B35850"/>
    <w:rsid w:val="00B3730A"/>
    <w:rsid w:val="00B37A4B"/>
    <w:rsid w:val="00B420D4"/>
    <w:rsid w:val="00B476D3"/>
    <w:rsid w:val="00B47E94"/>
    <w:rsid w:val="00B501EF"/>
    <w:rsid w:val="00B50512"/>
    <w:rsid w:val="00B509D0"/>
    <w:rsid w:val="00B53832"/>
    <w:rsid w:val="00B54007"/>
    <w:rsid w:val="00B54345"/>
    <w:rsid w:val="00B574AC"/>
    <w:rsid w:val="00B57E43"/>
    <w:rsid w:val="00B63748"/>
    <w:rsid w:val="00B63BBC"/>
    <w:rsid w:val="00B64B2E"/>
    <w:rsid w:val="00B658EF"/>
    <w:rsid w:val="00B65CEE"/>
    <w:rsid w:val="00B65DEA"/>
    <w:rsid w:val="00B679BE"/>
    <w:rsid w:val="00B7573C"/>
    <w:rsid w:val="00B761F0"/>
    <w:rsid w:val="00B76708"/>
    <w:rsid w:val="00B76BFB"/>
    <w:rsid w:val="00B810DD"/>
    <w:rsid w:val="00B8279D"/>
    <w:rsid w:val="00B830F1"/>
    <w:rsid w:val="00B83A22"/>
    <w:rsid w:val="00B8521C"/>
    <w:rsid w:val="00B85FCD"/>
    <w:rsid w:val="00B861B9"/>
    <w:rsid w:val="00B90831"/>
    <w:rsid w:val="00B92AB8"/>
    <w:rsid w:val="00B94D49"/>
    <w:rsid w:val="00B95BE1"/>
    <w:rsid w:val="00B96BA4"/>
    <w:rsid w:val="00BA1637"/>
    <w:rsid w:val="00BA41B5"/>
    <w:rsid w:val="00BA6D0B"/>
    <w:rsid w:val="00BA738F"/>
    <w:rsid w:val="00BB0590"/>
    <w:rsid w:val="00BB1B1D"/>
    <w:rsid w:val="00BB1CAD"/>
    <w:rsid w:val="00BB20D6"/>
    <w:rsid w:val="00BB5340"/>
    <w:rsid w:val="00BB6029"/>
    <w:rsid w:val="00BC3A31"/>
    <w:rsid w:val="00BC48A2"/>
    <w:rsid w:val="00BC5059"/>
    <w:rsid w:val="00BC67B2"/>
    <w:rsid w:val="00BC79C8"/>
    <w:rsid w:val="00BC7B06"/>
    <w:rsid w:val="00BD0352"/>
    <w:rsid w:val="00BD4F53"/>
    <w:rsid w:val="00BD6939"/>
    <w:rsid w:val="00BD715B"/>
    <w:rsid w:val="00BE0D40"/>
    <w:rsid w:val="00BE1989"/>
    <w:rsid w:val="00BE22EF"/>
    <w:rsid w:val="00BE24B6"/>
    <w:rsid w:val="00BE28FC"/>
    <w:rsid w:val="00BE393B"/>
    <w:rsid w:val="00BE5561"/>
    <w:rsid w:val="00BE7B06"/>
    <w:rsid w:val="00BE7DC9"/>
    <w:rsid w:val="00BF17B2"/>
    <w:rsid w:val="00BF2EE8"/>
    <w:rsid w:val="00BF62AC"/>
    <w:rsid w:val="00C000F4"/>
    <w:rsid w:val="00C02184"/>
    <w:rsid w:val="00C03063"/>
    <w:rsid w:val="00C03BC3"/>
    <w:rsid w:val="00C03F6E"/>
    <w:rsid w:val="00C041E1"/>
    <w:rsid w:val="00C06679"/>
    <w:rsid w:val="00C0760E"/>
    <w:rsid w:val="00C13003"/>
    <w:rsid w:val="00C21B70"/>
    <w:rsid w:val="00C25161"/>
    <w:rsid w:val="00C26A2A"/>
    <w:rsid w:val="00C328DB"/>
    <w:rsid w:val="00C35EA8"/>
    <w:rsid w:val="00C410DF"/>
    <w:rsid w:val="00C41A64"/>
    <w:rsid w:val="00C42DF4"/>
    <w:rsid w:val="00C445A5"/>
    <w:rsid w:val="00C44BC1"/>
    <w:rsid w:val="00C45DBF"/>
    <w:rsid w:val="00C472AC"/>
    <w:rsid w:val="00C5042B"/>
    <w:rsid w:val="00C51289"/>
    <w:rsid w:val="00C53815"/>
    <w:rsid w:val="00C53D91"/>
    <w:rsid w:val="00C5505E"/>
    <w:rsid w:val="00C562AD"/>
    <w:rsid w:val="00C56531"/>
    <w:rsid w:val="00C61C56"/>
    <w:rsid w:val="00C62081"/>
    <w:rsid w:val="00C66D12"/>
    <w:rsid w:val="00C719B0"/>
    <w:rsid w:val="00C736ED"/>
    <w:rsid w:val="00C75096"/>
    <w:rsid w:val="00C81899"/>
    <w:rsid w:val="00C8429A"/>
    <w:rsid w:val="00C84B91"/>
    <w:rsid w:val="00C91C9C"/>
    <w:rsid w:val="00C9286B"/>
    <w:rsid w:val="00C92A34"/>
    <w:rsid w:val="00C92B19"/>
    <w:rsid w:val="00C938F8"/>
    <w:rsid w:val="00C94CB5"/>
    <w:rsid w:val="00C9567C"/>
    <w:rsid w:val="00C97178"/>
    <w:rsid w:val="00CA088D"/>
    <w:rsid w:val="00CA0EA1"/>
    <w:rsid w:val="00CA1405"/>
    <w:rsid w:val="00CA2EF0"/>
    <w:rsid w:val="00CA51FD"/>
    <w:rsid w:val="00CA789A"/>
    <w:rsid w:val="00CA7EB1"/>
    <w:rsid w:val="00CB372B"/>
    <w:rsid w:val="00CB4DC9"/>
    <w:rsid w:val="00CB6CDE"/>
    <w:rsid w:val="00CB7855"/>
    <w:rsid w:val="00CC2FDC"/>
    <w:rsid w:val="00CC6569"/>
    <w:rsid w:val="00CC7F2B"/>
    <w:rsid w:val="00CD0A2E"/>
    <w:rsid w:val="00CD1AAF"/>
    <w:rsid w:val="00CD3B8D"/>
    <w:rsid w:val="00CD417C"/>
    <w:rsid w:val="00CD69C4"/>
    <w:rsid w:val="00CE03A3"/>
    <w:rsid w:val="00CE081C"/>
    <w:rsid w:val="00CE2D20"/>
    <w:rsid w:val="00CE2F48"/>
    <w:rsid w:val="00CE3734"/>
    <w:rsid w:val="00CE50A9"/>
    <w:rsid w:val="00CE6913"/>
    <w:rsid w:val="00CF03AD"/>
    <w:rsid w:val="00CF12B6"/>
    <w:rsid w:val="00CF5DD8"/>
    <w:rsid w:val="00CF658C"/>
    <w:rsid w:val="00CF65D4"/>
    <w:rsid w:val="00CF7B15"/>
    <w:rsid w:val="00D019C5"/>
    <w:rsid w:val="00D01DF5"/>
    <w:rsid w:val="00D06990"/>
    <w:rsid w:val="00D1220A"/>
    <w:rsid w:val="00D138DA"/>
    <w:rsid w:val="00D13E44"/>
    <w:rsid w:val="00D141B4"/>
    <w:rsid w:val="00D21824"/>
    <w:rsid w:val="00D21AA5"/>
    <w:rsid w:val="00D22B65"/>
    <w:rsid w:val="00D22F89"/>
    <w:rsid w:val="00D30408"/>
    <w:rsid w:val="00D3181F"/>
    <w:rsid w:val="00D31A90"/>
    <w:rsid w:val="00D3261B"/>
    <w:rsid w:val="00D348D7"/>
    <w:rsid w:val="00D36503"/>
    <w:rsid w:val="00D365AA"/>
    <w:rsid w:val="00D37442"/>
    <w:rsid w:val="00D407B2"/>
    <w:rsid w:val="00D41C0C"/>
    <w:rsid w:val="00D42017"/>
    <w:rsid w:val="00D42693"/>
    <w:rsid w:val="00D4513E"/>
    <w:rsid w:val="00D47976"/>
    <w:rsid w:val="00D500E9"/>
    <w:rsid w:val="00D51E87"/>
    <w:rsid w:val="00D52A8C"/>
    <w:rsid w:val="00D52E02"/>
    <w:rsid w:val="00D52F55"/>
    <w:rsid w:val="00D560B8"/>
    <w:rsid w:val="00D56C4C"/>
    <w:rsid w:val="00D57011"/>
    <w:rsid w:val="00D57657"/>
    <w:rsid w:val="00D57999"/>
    <w:rsid w:val="00D602F7"/>
    <w:rsid w:val="00D61000"/>
    <w:rsid w:val="00D61B4E"/>
    <w:rsid w:val="00D630CC"/>
    <w:rsid w:val="00D644E4"/>
    <w:rsid w:val="00D64DBF"/>
    <w:rsid w:val="00D6527E"/>
    <w:rsid w:val="00D65387"/>
    <w:rsid w:val="00D65881"/>
    <w:rsid w:val="00D66363"/>
    <w:rsid w:val="00D666C6"/>
    <w:rsid w:val="00D67BA9"/>
    <w:rsid w:val="00D70BED"/>
    <w:rsid w:val="00D7101F"/>
    <w:rsid w:val="00D72480"/>
    <w:rsid w:val="00D74292"/>
    <w:rsid w:val="00D754D2"/>
    <w:rsid w:val="00D76A2C"/>
    <w:rsid w:val="00D76B16"/>
    <w:rsid w:val="00D76B1A"/>
    <w:rsid w:val="00D8029C"/>
    <w:rsid w:val="00D803CD"/>
    <w:rsid w:val="00D8141B"/>
    <w:rsid w:val="00D831E5"/>
    <w:rsid w:val="00D85537"/>
    <w:rsid w:val="00D85BF8"/>
    <w:rsid w:val="00D85C64"/>
    <w:rsid w:val="00D879EA"/>
    <w:rsid w:val="00D91F25"/>
    <w:rsid w:val="00D9254E"/>
    <w:rsid w:val="00D94DFA"/>
    <w:rsid w:val="00D95056"/>
    <w:rsid w:val="00DA24D4"/>
    <w:rsid w:val="00DA270B"/>
    <w:rsid w:val="00DA3386"/>
    <w:rsid w:val="00DA3923"/>
    <w:rsid w:val="00DA5B26"/>
    <w:rsid w:val="00DA5D1D"/>
    <w:rsid w:val="00DA795D"/>
    <w:rsid w:val="00DB0B90"/>
    <w:rsid w:val="00DB5A11"/>
    <w:rsid w:val="00DB65FF"/>
    <w:rsid w:val="00DB73D3"/>
    <w:rsid w:val="00DC4114"/>
    <w:rsid w:val="00DC5F26"/>
    <w:rsid w:val="00DC6EB4"/>
    <w:rsid w:val="00DC7A03"/>
    <w:rsid w:val="00DD5322"/>
    <w:rsid w:val="00DD68AE"/>
    <w:rsid w:val="00DD721F"/>
    <w:rsid w:val="00DE007D"/>
    <w:rsid w:val="00DE7F23"/>
    <w:rsid w:val="00DF32F6"/>
    <w:rsid w:val="00DF4DF6"/>
    <w:rsid w:val="00DF56A1"/>
    <w:rsid w:val="00DF5F59"/>
    <w:rsid w:val="00DF6106"/>
    <w:rsid w:val="00DF727D"/>
    <w:rsid w:val="00E005CC"/>
    <w:rsid w:val="00E048E0"/>
    <w:rsid w:val="00E04BF7"/>
    <w:rsid w:val="00E064D5"/>
    <w:rsid w:val="00E06A84"/>
    <w:rsid w:val="00E121D8"/>
    <w:rsid w:val="00E1430B"/>
    <w:rsid w:val="00E1442C"/>
    <w:rsid w:val="00E154B8"/>
    <w:rsid w:val="00E17226"/>
    <w:rsid w:val="00E17E20"/>
    <w:rsid w:val="00E20615"/>
    <w:rsid w:val="00E20E45"/>
    <w:rsid w:val="00E212B1"/>
    <w:rsid w:val="00E21584"/>
    <w:rsid w:val="00E2283E"/>
    <w:rsid w:val="00E24798"/>
    <w:rsid w:val="00E25424"/>
    <w:rsid w:val="00E317A0"/>
    <w:rsid w:val="00E328BC"/>
    <w:rsid w:val="00E32C56"/>
    <w:rsid w:val="00E32EE2"/>
    <w:rsid w:val="00E33691"/>
    <w:rsid w:val="00E3406C"/>
    <w:rsid w:val="00E3421B"/>
    <w:rsid w:val="00E3590D"/>
    <w:rsid w:val="00E365EB"/>
    <w:rsid w:val="00E40A93"/>
    <w:rsid w:val="00E43245"/>
    <w:rsid w:val="00E52AF5"/>
    <w:rsid w:val="00E53882"/>
    <w:rsid w:val="00E55B0D"/>
    <w:rsid w:val="00E55FE7"/>
    <w:rsid w:val="00E57D13"/>
    <w:rsid w:val="00E622AA"/>
    <w:rsid w:val="00E65CEE"/>
    <w:rsid w:val="00E66BB7"/>
    <w:rsid w:val="00E705F9"/>
    <w:rsid w:val="00E76114"/>
    <w:rsid w:val="00E76827"/>
    <w:rsid w:val="00E7713C"/>
    <w:rsid w:val="00E77BE9"/>
    <w:rsid w:val="00E80749"/>
    <w:rsid w:val="00E82E1F"/>
    <w:rsid w:val="00E837DE"/>
    <w:rsid w:val="00E848DA"/>
    <w:rsid w:val="00E91ABF"/>
    <w:rsid w:val="00E91FC1"/>
    <w:rsid w:val="00E92657"/>
    <w:rsid w:val="00E92756"/>
    <w:rsid w:val="00E92A17"/>
    <w:rsid w:val="00E92E55"/>
    <w:rsid w:val="00E92E56"/>
    <w:rsid w:val="00E9411A"/>
    <w:rsid w:val="00E95560"/>
    <w:rsid w:val="00E9576C"/>
    <w:rsid w:val="00E97DFB"/>
    <w:rsid w:val="00EA0389"/>
    <w:rsid w:val="00EB200D"/>
    <w:rsid w:val="00EB2936"/>
    <w:rsid w:val="00EB3BF8"/>
    <w:rsid w:val="00EB68BE"/>
    <w:rsid w:val="00EB6AAF"/>
    <w:rsid w:val="00EB7F76"/>
    <w:rsid w:val="00EC1A8B"/>
    <w:rsid w:val="00EC2FDD"/>
    <w:rsid w:val="00EC38D3"/>
    <w:rsid w:val="00EC4655"/>
    <w:rsid w:val="00ED3A96"/>
    <w:rsid w:val="00ED3D61"/>
    <w:rsid w:val="00ED444C"/>
    <w:rsid w:val="00ED5496"/>
    <w:rsid w:val="00ED6507"/>
    <w:rsid w:val="00ED651B"/>
    <w:rsid w:val="00ED6A85"/>
    <w:rsid w:val="00ED6CE6"/>
    <w:rsid w:val="00EE1136"/>
    <w:rsid w:val="00EE2282"/>
    <w:rsid w:val="00EE28C5"/>
    <w:rsid w:val="00EE2B59"/>
    <w:rsid w:val="00EE48CA"/>
    <w:rsid w:val="00EE628F"/>
    <w:rsid w:val="00EF1D31"/>
    <w:rsid w:val="00EF4A2E"/>
    <w:rsid w:val="00EF5A27"/>
    <w:rsid w:val="00EF6044"/>
    <w:rsid w:val="00F00639"/>
    <w:rsid w:val="00F00FD9"/>
    <w:rsid w:val="00F01889"/>
    <w:rsid w:val="00F0242D"/>
    <w:rsid w:val="00F02C58"/>
    <w:rsid w:val="00F03DB0"/>
    <w:rsid w:val="00F070CD"/>
    <w:rsid w:val="00F10376"/>
    <w:rsid w:val="00F10B06"/>
    <w:rsid w:val="00F10B41"/>
    <w:rsid w:val="00F13BDA"/>
    <w:rsid w:val="00F22196"/>
    <w:rsid w:val="00F22CC1"/>
    <w:rsid w:val="00F232A0"/>
    <w:rsid w:val="00F23E4C"/>
    <w:rsid w:val="00F27DDC"/>
    <w:rsid w:val="00F354FB"/>
    <w:rsid w:val="00F376C8"/>
    <w:rsid w:val="00F376F6"/>
    <w:rsid w:val="00F40B95"/>
    <w:rsid w:val="00F40C41"/>
    <w:rsid w:val="00F42ED4"/>
    <w:rsid w:val="00F44A0E"/>
    <w:rsid w:val="00F4564F"/>
    <w:rsid w:val="00F4573C"/>
    <w:rsid w:val="00F46452"/>
    <w:rsid w:val="00F504F7"/>
    <w:rsid w:val="00F5090B"/>
    <w:rsid w:val="00F50CAA"/>
    <w:rsid w:val="00F53513"/>
    <w:rsid w:val="00F53ABC"/>
    <w:rsid w:val="00F54BCE"/>
    <w:rsid w:val="00F560DE"/>
    <w:rsid w:val="00F56CEC"/>
    <w:rsid w:val="00F57B99"/>
    <w:rsid w:val="00F6393F"/>
    <w:rsid w:val="00F6398F"/>
    <w:rsid w:val="00F63F68"/>
    <w:rsid w:val="00F654F9"/>
    <w:rsid w:val="00F72E95"/>
    <w:rsid w:val="00F732E5"/>
    <w:rsid w:val="00F740FF"/>
    <w:rsid w:val="00F7542D"/>
    <w:rsid w:val="00F7549B"/>
    <w:rsid w:val="00F76140"/>
    <w:rsid w:val="00F764A5"/>
    <w:rsid w:val="00F76A17"/>
    <w:rsid w:val="00F8083A"/>
    <w:rsid w:val="00F81DA0"/>
    <w:rsid w:val="00F8524D"/>
    <w:rsid w:val="00F85DE1"/>
    <w:rsid w:val="00F86213"/>
    <w:rsid w:val="00F866ED"/>
    <w:rsid w:val="00F920E2"/>
    <w:rsid w:val="00F9279B"/>
    <w:rsid w:val="00F934DD"/>
    <w:rsid w:val="00F93F8F"/>
    <w:rsid w:val="00F95CCB"/>
    <w:rsid w:val="00F964FE"/>
    <w:rsid w:val="00F97892"/>
    <w:rsid w:val="00FA12E2"/>
    <w:rsid w:val="00FA34BF"/>
    <w:rsid w:val="00FA43FF"/>
    <w:rsid w:val="00FA5E2A"/>
    <w:rsid w:val="00FA5F27"/>
    <w:rsid w:val="00FA70E4"/>
    <w:rsid w:val="00FA77D0"/>
    <w:rsid w:val="00FA7EF3"/>
    <w:rsid w:val="00FB35CD"/>
    <w:rsid w:val="00FB4C1A"/>
    <w:rsid w:val="00FB5AB4"/>
    <w:rsid w:val="00FB6EC9"/>
    <w:rsid w:val="00FB7863"/>
    <w:rsid w:val="00FC0C10"/>
    <w:rsid w:val="00FC1C74"/>
    <w:rsid w:val="00FC3A1A"/>
    <w:rsid w:val="00FC5EF5"/>
    <w:rsid w:val="00FC686D"/>
    <w:rsid w:val="00FC7430"/>
    <w:rsid w:val="00FD18B0"/>
    <w:rsid w:val="00FD1B58"/>
    <w:rsid w:val="00FD44DD"/>
    <w:rsid w:val="00FD7C85"/>
    <w:rsid w:val="00FE09C4"/>
    <w:rsid w:val="00FE171F"/>
    <w:rsid w:val="00FE2702"/>
    <w:rsid w:val="00FE2CCD"/>
    <w:rsid w:val="00FE4C6F"/>
    <w:rsid w:val="00FE65E1"/>
    <w:rsid w:val="00FE6C16"/>
    <w:rsid w:val="00FF37AF"/>
    <w:rsid w:val="5C96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ind w:firstLine="0"/>
      <w:jc w:val="center"/>
      <w:outlineLvl w:val="0"/>
    </w:pPr>
    <w:rPr>
      <w:rFonts w:eastAsia="宋体"/>
      <w:b/>
      <w:kern w:val="44"/>
      <w:sz w:val="44"/>
    </w:rPr>
  </w:style>
  <w:style w:type="paragraph" w:styleId="3">
    <w:name w:val="heading 2"/>
    <w:basedOn w:val="1"/>
    <w:next w:val="1"/>
    <w:qFormat/>
    <w:uiPriority w:val="0"/>
    <w:pPr>
      <w:keepNext/>
      <w:keepLines/>
      <w:ind w:firstLine="0"/>
      <w:jc w:val="center"/>
      <w:outlineLvl w:val="1"/>
    </w:pPr>
    <w:rPr>
      <w:rFonts w:ascii="Arial" w:hAnsi="Arial" w:eastAsia="楷体_GB2312"/>
    </w:rPr>
  </w:style>
  <w:style w:type="paragraph" w:styleId="4">
    <w:name w:val="heading 3"/>
    <w:basedOn w:val="1"/>
    <w:next w:val="5"/>
    <w:qFormat/>
    <w:uiPriority w:val="0"/>
    <w:pPr>
      <w:keepNext/>
      <w:keepLines/>
      <w:spacing w:before="260" w:after="260" w:line="416" w:lineRule="auto"/>
      <w:outlineLvl w:val="2"/>
    </w:pPr>
    <w:rPr>
      <w:b/>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Indent"/>
    <w:basedOn w:val="1"/>
    <w:link w:val="30"/>
    <w:uiPriority w:val="0"/>
    <w:pPr>
      <w:ind w:left="1120" w:hanging="1120"/>
    </w:pPr>
  </w:style>
  <w:style w:type="paragraph" w:styleId="7">
    <w:name w:val="Date"/>
    <w:basedOn w:val="1"/>
    <w:next w:val="1"/>
    <w:uiPriority w:val="0"/>
    <w:pPr>
      <w:ind w:left="100" w:leftChars="2500"/>
    </w:pPr>
  </w:style>
  <w:style w:type="paragraph" w:styleId="8">
    <w:name w:val="Balloon Text"/>
    <w:basedOn w:val="1"/>
    <w:link w:val="29"/>
    <w:qFormat/>
    <w:uiPriority w:val="0"/>
    <w:pPr>
      <w:spacing w:line="240" w:lineRule="auto"/>
      <w:ind w:firstLine="0"/>
    </w:pPr>
    <w:rPr>
      <w:rFonts w:ascii="Calibri" w:hAnsi="Calibri" w:eastAsia="宋体"/>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99"/>
    <w:pPr>
      <w:widowControl/>
      <w:spacing w:before="100" w:beforeAutospacing="1" w:after="100" w:afterAutospacing="1" w:line="400" w:lineRule="atLeast"/>
      <w:ind w:firstLine="0"/>
      <w:jc w:val="left"/>
    </w:pPr>
    <w:rPr>
      <w:rFonts w:ascii="宋体" w:hAnsi="宋体" w:eastAsia="宋体"/>
      <w:kern w:val="0"/>
      <w:sz w:val="24"/>
      <w:szCs w:val="24"/>
    </w:rPr>
  </w:style>
  <w:style w:type="paragraph" w:styleId="12">
    <w:name w:val="Body Text First Indent 2"/>
    <w:basedOn w:val="6"/>
    <w:link w:val="31"/>
    <w:uiPriority w:val="0"/>
    <w:pPr>
      <w:spacing w:after="120"/>
      <w:ind w:left="420" w:leftChars="200" w:firstLine="420" w:firstLineChars="200"/>
    </w:pPr>
  </w:style>
  <w:style w:type="character" w:styleId="15">
    <w:name w:val="Strong"/>
    <w:basedOn w:val="14"/>
    <w:qFormat/>
    <w:uiPriority w:val="0"/>
    <w:rPr>
      <w:b/>
    </w:rPr>
  </w:style>
  <w:style w:type="character" w:styleId="16">
    <w:name w:val="page number"/>
    <w:basedOn w:val="14"/>
    <w:uiPriority w:val="0"/>
  </w:style>
  <w:style w:type="paragraph" w:customStyle="1" w:styleId="17">
    <w:name w:val="抄送栏"/>
    <w:basedOn w:val="1"/>
    <w:qFormat/>
    <w:uiPriority w:val="0"/>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18">
    <w:name w:val="印数"/>
    <w:basedOn w:val="19"/>
    <w:qFormat/>
    <w:uiPriority w:val="0"/>
    <w:pPr>
      <w:tabs>
        <w:tab w:val="left" w:pos="284"/>
        <w:tab w:val="left" w:pos="5387"/>
      </w:tabs>
      <w:jc w:val="right"/>
    </w:pPr>
  </w:style>
  <w:style w:type="paragraph" w:customStyle="1" w:styleId="19">
    <w:name w:val="印发栏"/>
    <w:basedOn w:val="1"/>
    <w:uiPriority w:val="0"/>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20">
    <w:name w:val="主题词"/>
    <w:basedOn w:val="1"/>
    <w:uiPriority w:val="0"/>
    <w:pPr>
      <w:widowControl/>
      <w:autoSpaceDE w:val="0"/>
      <w:autoSpaceDN w:val="0"/>
      <w:adjustRightInd w:val="0"/>
      <w:spacing w:line="240" w:lineRule="atLeast"/>
      <w:ind w:firstLine="0"/>
      <w:jc w:val="left"/>
    </w:pPr>
    <w:rPr>
      <w:rFonts w:ascii="冼极" w:eastAsia="冼极"/>
      <w:b/>
      <w:kern w:val="0"/>
    </w:rPr>
  </w:style>
  <w:style w:type="paragraph" w:customStyle="1" w:styleId="21">
    <w:name w:val="线型"/>
    <w:basedOn w:val="1"/>
    <w:qFormat/>
    <w:uiPriority w:val="0"/>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22">
    <w:name w:val="主送单位"/>
    <w:basedOn w:val="1"/>
    <w:uiPriority w:val="0"/>
    <w:pPr>
      <w:widowControl/>
      <w:autoSpaceDE w:val="0"/>
      <w:autoSpaceDN w:val="0"/>
      <w:adjustRightInd w:val="0"/>
      <w:ind w:firstLine="0"/>
    </w:pPr>
    <w:rPr>
      <w:rFonts w:ascii="溘冼_GB2312" w:eastAsia="溘冼_GB2312"/>
      <w:spacing w:val="-4"/>
      <w:kern w:val="0"/>
    </w:rPr>
  </w:style>
  <w:style w:type="character" w:customStyle="1" w:styleId="23">
    <w:name w:val="标题2 Char"/>
    <w:basedOn w:val="14"/>
    <w:link w:val="24"/>
    <w:uiPriority w:val="0"/>
    <w:rPr>
      <w:rFonts w:eastAsia="方正楷体_GBK"/>
      <w:lang w:bidi="ar-SA"/>
    </w:rPr>
  </w:style>
  <w:style w:type="paragraph" w:customStyle="1" w:styleId="24">
    <w:name w:val="标题2"/>
    <w:basedOn w:val="1"/>
    <w:next w:val="1"/>
    <w:link w:val="23"/>
    <w:qFormat/>
    <w:uiPriority w:val="0"/>
    <w:pPr>
      <w:autoSpaceDE w:val="0"/>
      <w:autoSpaceDN w:val="0"/>
      <w:snapToGrid w:val="0"/>
      <w:spacing w:line="590" w:lineRule="atLeast"/>
      <w:ind w:firstLine="0"/>
      <w:jc w:val="center"/>
    </w:pPr>
    <w:rPr>
      <w:rFonts w:eastAsia="方正楷体_GBK"/>
      <w:kern w:val="0"/>
      <w:sz w:val="20"/>
    </w:rPr>
  </w:style>
  <w:style w:type="paragraph" w:customStyle="1" w:styleId="25">
    <w:name w:val="标题3"/>
    <w:basedOn w:val="1"/>
    <w:next w:val="1"/>
    <w:qFormat/>
    <w:uiPriority w:val="0"/>
    <w:pPr>
      <w:autoSpaceDE w:val="0"/>
      <w:autoSpaceDN w:val="0"/>
      <w:snapToGrid w:val="0"/>
      <w:spacing w:line="590" w:lineRule="atLeast"/>
    </w:pPr>
    <w:rPr>
      <w:rFonts w:eastAsia="方正黑体_GBK"/>
      <w:snapToGrid w:val="0"/>
      <w:kern w:val="0"/>
    </w:rPr>
  </w:style>
  <w:style w:type="character" w:customStyle="1" w:styleId="26">
    <w:name w:val="页脚 Char"/>
    <w:basedOn w:val="14"/>
    <w:link w:val="9"/>
    <w:qFormat/>
    <w:uiPriority w:val="99"/>
    <w:rPr>
      <w:rFonts w:eastAsia="仿宋_GB2312"/>
      <w:kern w:val="2"/>
      <w:sz w:val="18"/>
    </w:rPr>
  </w:style>
  <w:style w:type="character" w:customStyle="1" w:styleId="27">
    <w:name w:val="style101"/>
    <w:qFormat/>
    <w:uiPriority w:val="0"/>
    <w:rPr>
      <w:rFonts w:hint="eastAsia" w:ascii="宋体" w:hAnsi="宋体" w:eastAsia="宋体"/>
      <w:sz w:val="34"/>
      <w:szCs w:val="34"/>
    </w:rPr>
  </w:style>
  <w:style w:type="character" w:customStyle="1" w:styleId="28">
    <w:name w:val="ca-1"/>
    <w:basedOn w:val="14"/>
    <w:qFormat/>
    <w:uiPriority w:val="0"/>
  </w:style>
  <w:style w:type="character" w:customStyle="1" w:styleId="29">
    <w:name w:val="批注框文本 Char"/>
    <w:basedOn w:val="14"/>
    <w:link w:val="8"/>
    <w:uiPriority w:val="0"/>
    <w:rPr>
      <w:rFonts w:ascii="Calibri" w:hAnsi="Calibri"/>
      <w:kern w:val="2"/>
      <w:sz w:val="18"/>
      <w:szCs w:val="18"/>
    </w:rPr>
  </w:style>
  <w:style w:type="character" w:customStyle="1" w:styleId="30">
    <w:name w:val="正文文本缩进 Char"/>
    <w:basedOn w:val="14"/>
    <w:link w:val="6"/>
    <w:qFormat/>
    <w:uiPriority w:val="0"/>
    <w:rPr>
      <w:rFonts w:eastAsia="仿宋_GB2312"/>
      <w:kern w:val="2"/>
      <w:sz w:val="32"/>
    </w:rPr>
  </w:style>
  <w:style w:type="character" w:customStyle="1" w:styleId="31">
    <w:name w:val="正文首行缩进 2 Char"/>
    <w:basedOn w:val="30"/>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6830;&#23433;&#30417;&#12308;2018&#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连安监〔2018〕号.dot</Template>
  <Company>sy27</Company>
  <Pages>7</Pages>
  <Words>1440</Words>
  <Characters>1440</Characters>
  <Lines>96</Lines>
  <Paragraphs>65</Paragraphs>
  <TotalTime>5</TotalTime>
  <ScaleCrop>false</ScaleCrop>
  <LinksUpToDate>false</LinksUpToDate>
  <CharactersWithSpaces>2815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2021-03-23T08:35:00Z</dcterms:created>
  <dc:creator>User</dc:creator>
  <dc:description>该文件附带有冀慎华编写的反宏病毒程序(v33).</dc:description>
  <cp:lastModifiedBy>Administrator</cp:lastModifiedBy>
  <cp:lastPrinted>2021-03-23T08:35:00Z</cp:lastPrinted>
  <dcterms:modified xsi:type="dcterms:W3CDTF">2021-03-23T09:14:12Z</dcterms:modified>
  <dc:title>连政发〔2000〕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